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74" w:rsidRPr="00C547BE" w:rsidRDefault="00491174" w:rsidP="00491174">
      <w:pPr>
        <w:jc w:val="center"/>
        <w:rPr>
          <w:rFonts w:ascii="Bookman Old Style" w:hAnsi="Bookman Old Style" w:cs="Times New Roman"/>
          <w:b/>
          <w:sz w:val="32"/>
          <w:szCs w:val="32"/>
          <w:u w:val="single"/>
        </w:rPr>
      </w:pPr>
      <w:r w:rsidRPr="00C547BE">
        <w:rPr>
          <w:rFonts w:ascii="Bookman Old Style" w:hAnsi="Bookman Old Style" w:cs="Times New Roman"/>
          <w:b/>
          <w:sz w:val="32"/>
          <w:szCs w:val="32"/>
          <w:u w:val="single"/>
        </w:rPr>
        <w:t>PALÁCIO 1º DE NOVEMBRO</w:t>
      </w:r>
    </w:p>
    <w:p w:rsidR="00491174" w:rsidRPr="00A42E70" w:rsidRDefault="00491174" w:rsidP="00491174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91174" w:rsidRPr="00A42E70" w:rsidRDefault="00491174" w:rsidP="00491174">
      <w:pPr>
        <w:pStyle w:val="SemEspaamento"/>
        <w:ind w:left="1418"/>
        <w:jc w:val="both"/>
        <w:rPr>
          <w:rFonts w:ascii="Bookman Old Style" w:hAnsi="Bookman Old Style"/>
          <w:b/>
          <w:sz w:val="24"/>
          <w:szCs w:val="24"/>
        </w:rPr>
      </w:pPr>
      <w:r w:rsidRPr="00A42E70">
        <w:rPr>
          <w:rFonts w:ascii="Bookman Old Style" w:hAnsi="Bookman Old Style" w:cs="Times New Roman"/>
          <w:b/>
          <w:sz w:val="24"/>
          <w:szCs w:val="24"/>
        </w:rPr>
        <w:t xml:space="preserve">MENSAGEM AO PROJETO DE RESOLUÇÃO Nº </w:t>
      </w:r>
      <w:r w:rsidR="00964FBC">
        <w:rPr>
          <w:rFonts w:ascii="Bookman Old Style" w:hAnsi="Bookman Old Style" w:cs="Times New Roman"/>
          <w:b/>
          <w:sz w:val="24"/>
          <w:szCs w:val="24"/>
        </w:rPr>
        <w:t>17</w:t>
      </w:r>
      <w:r w:rsidRPr="00A42E70">
        <w:rPr>
          <w:rFonts w:ascii="Bookman Old Style" w:hAnsi="Bookman Old Style" w:cs="Times New Roman"/>
          <w:b/>
          <w:sz w:val="24"/>
          <w:szCs w:val="24"/>
        </w:rPr>
        <w:t xml:space="preserve">/2017, QUE ALTERA OS ARTIGOS </w:t>
      </w:r>
      <w:r w:rsidRPr="00551A32">
        <w:rPr>
          <w:rFonts w:ascii="Bookman Old Style" w:hAnsi="Bookman Old Style"/>
          <w:b/>
          <w:sz w:val="24"/>
          <w:szCs w:val="24"/>
        </w:rPr>
        <w:t>71, 79, 80, 81</w:t>
      </w:r>
      <w:r w:rsidR="008A528B">
        <w:rPr>
          <w:rFonts w:ascii="Bookman Old Style" w:hAnsi="Bookman Old Style"/>
          <w:b/>
          <w:sz w:val="24"/>
          <w:szCs w:val="24"/>
        </w:rPr>
        <w:t xml:space="preserve"> 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51A32">
        <w:rPr>
          <w:rFonts w:ascii="Bookman Old Style" w:hAnsi="Bookman Old Style"/>
          <w:b/>
          <w:sz w:val="24"/>
          <w:szCs w:val="24"/>
        </w:rPr>
        <w:t>82</w:t>
      </w:r>
      <w:r w:rsidRPr="00A42E70">
        <w:rPr>
          <w:rFonts w:ascii="Bookman Old Style" w:hAnsi="Bookman Old Style" w:cs="Times New Roman"/>
          <w:b/>
          <w:sz w:val="24"/>
          <w:szCs w:val="24"/>
        </w:rPr>
        <w:t>, DA RESOLUÇÃO Nº 17/2014, QUE ‘</w:t>
      </w:r>
      <w:r w:rsidRPr="00A42E70">
        <w:rPr>
          <w:rFonts w:ascii="Bookman Old Style" w:hAnsi="Bookman Old Style"/>
          <w:b/>
          <w:bCs/>
          <w:i/>
          <w:iCs/>
          <w:sz w:val="24"/>
          <w:szCs w:val="24"/>
        </w:rPr>
        <w:t>DISPÕE SOBRE A ORGANIZAÇÃO E A ESTRUTURA ADMINISTRATIVA DA CÂMARA MUNICIPAL DE ITATIBA</w:t>
      </w:r>
      <w:r w:rsidRPr="00A42E70">
        <w:rPr>
          <w:rFonts w:ascii="Bookman Old Style" w:hAnsi="Bookman Old Style"/>
          <w:b/>
          <w:bCs/>
          <w:iCs/>
          <w:sz w:val="24"/>
          <w:szCs w:val="24"/>
        </w:rPr>
        <w:t>’</w:t>
      </w:r>
      <w:r>
        <w:rPr>
          <w:rFonts w:ascii="Bookman Old Style" w:hAnsi="Bookman Old Style"/>
          <w:b/>
          <w:sz w:val="24"/>
          <w:szCs w:val="24"/>
        </w:rPr>
        <w:t xml:space="preserve"> E DÁ OUTRAS PROVIDÊNCIAS</w:t>
      </w:r>
      <w:r w:rsidRPr="00A42E70">
        <w:rPr>
          <w:rFonts w:ascii="Bookman Old Style" w:hAnsi="Bookman Old Style"/>
          <w:b/>
          <w:sz w:val="24"/>
          <w:szCs w:val="24"/>
        </w:rPr>
        <w:t>”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491174" w:rsidRPr="00A42E70" w:rsidRDefault="00491174" w:rsidP="00491174">
      <w:pPr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91174" w:rsidRPr="00A42E70" w:rsidRDefault="00491174" w:rsidP="00491174">
      <w:pPr>
        <w:rPr>
          <w:rFonts w:ascii="Bookman Old Style" w:hAnsi="Bookman Old Style" w:cs="Times New Roman"/>
          <w:sz w:val="24"/>
          <w:szCs w:val="24"/>
        </w:rPr>
      </w:pPr>
      <w:r w:rsidRPr="00A42E70">
        <w:rPr>
          <w:rFonts w:ascii="Bookman Old Style" w:hAnsi="Bookman Old Style" w:cs="Times New Roman"/>
          <w:sz w:val="24"/>
          <w:szCs w:val="24"/>
        </w:rPr>
        <w:t>Srs. Vereadores,</w:t>
      </w:r>
    </w:p>
    <w:p w:rsidR="00491174" w:rsidRPr="00A42E70" w:rsidRDefault="00491174" w:rsidP="00491174">
      <w:pPr>
        <w:ind w:firstLine="1843"/>
        <w:jc w:val="both"/>
        <w:rPr>
          <w:rFonts w:ascii="Bookman Old Style" w:hAnsi="Bookman Old Style" w:cs="Times New Roman"/>
          <w:sz w:val="24"/>
          <w:szCs w:val="24"/>
        </w:rPr>
      </w:pPr>
      <w:r w:rsidRPr="00A42E70">
        <w:rPr>
          <w:rFonts w:ascii="Bookman Old Style" w:hAnsi="Bookman Old Style" w:cs="Times New Roman"/>
          <w:sz w:val="24"/>
          <w:szCs w:val="24"/>
        </w:rPr>
        <w:t>As alterações ora propostas junto à estrutura administrativa e funcional desta Casa são frutos de estudos decorrentes de apontamentos realizados pelo Egrégio Tribunal de Contas do Estado de São Paulo.</w:t>
      </w:r>
    </w:p>
    <w:p w:rsidR="00491174" w:rsidRPr="00A42E70" w:rsidRDefault="00491174" w:rsidP="00491174">
      <w:pPr>
        <w:ind w:firstLine="1843"/>
        <w:jc w:val="both"/>
        <w:rPr>
          <w:rFonts w:ascii="Bookman Old Style" w:hAnsi="Bookman Old Style" w:cs="Times New Roman"/>
          <w:sz w:val="24"/>
          <w:szCs w:val="24"/>
        </w:rPr>
      </w:pPr>
      <w:r w:rsidRPr="00A42E70">
        <w:rPr>
          <w:rFonts w:ascii="Bookman Old Style" w:hAnsi="Bookman Old Style" w:cs="Times New Roman"/>
          <w:sz w:val="24"/>
          <w:szCs w:val="24"/>
        </w:rPr>
        <w:t>Com efeito, não obstante as adequações procedidas pela Resolução nº 17/2014, em consonância com o Termo de Ajustamento de Conduta firmado junto ao Ministério Público estadual, em dezembro de 2014, remanescem, ainda, questões pontuais que demandam a devida atenção, consoante entendimento da Corte Paulista de Contas.</w:t>
      </w:r>
    </w:p>
    <w:p w:rsidR="00491174" w:rsidRPr="00A42E70" w:rsidRDefault="00491174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491174" w:rsidRDefault="00491174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  <w:r w:rsidRPr="00A42E70">
        <w:rPr>
          <w:rFonts w:ascii="Bookman Old Style" w:hAnsi="Bookman Old Style"/>
          <w:sz w:val="24"/>
          <w:szCs w:val="24"/>
        </w:rPr>
        <w:t xml:space="preserve">Aos atuais assessores, lotados junto aos Gabinetes, será </w:t>
      </w:r>
      <w:r>
        <w:rPr>
          <w:rFonts w:ascii="Bookman Old Style" w:hAnsi="Bookman Old Style"/>
          <w:sz w:val="24"/>
          <w:szCs w:val="24"/>
        </w:rPr>
        <w:t xml:space="preserve">permitido continuar no exercício dos cargos, independentemente de nível superior, providência que se </w:t>
      </w:r>
      <w:r w:rsidRPr="00A42E70">
        <w:rPr>
          <w:rFonts w:ascii="Bookman Old Style" w:hAnsi="Bookman Old Style"/>
          <w:sz w:val="24"/>
          <w:szCs w:val="24"/>
        </w:rPr>
        <w:t>dá por questões humanitárias e sociais, além de preservar o interesse público de manter no cargo pessoas que já possuem experiência na área, embora não detentoras</w:t>
      </w:r>
      <w:r w:rsidR="00D54DAD">
        <w:rPr>
          <w:rFonts w:ascii="Bookman Old Style" w:hAnsi="Bookman Old Style"/>
          <w:sz w:val="24"/>
          <w:szCs w:val="24"/>
        </w:rPr>
        <w:t>, ainda,</w:t>
      </w:r>
      <w:r w:rsidRPr="00A42E70">
        <w:rPr>
          <w:rFonts w:ascii="Bookman Old Style" w:hAnsi="Bookman Old Style"/>
          <w:sz w:val="24"/>
          <w:szCs w:val="24"/>
        </w:rPr>
        <w:t xml:space="preserve"> de um diploma de nível superior. Após muitas reflexões, chegou-se à conclusão de que não podemos deixar à míngua aqueles que com tanto esmero vêm desempenhando suas funções a contento, alguns, inclusive, por anos a fio, especialmente em época de acentuada crise econômica, na qual a recolocação no mercado de trabalho é inviável até mesmo àqueles que possuem formação superior, pós-graduação, mestrado etc.</w:t>
      </w:r>
    </w:p>
    <w:p w:rsidR="00D54DAD" w:rsidRDefault="00D54DAD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D54DAD" w:rsidRDefault="00D54DAD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Certo é que, a partir dessa Resolução não será admitido neste Poder Legislativo </w:t>
      </w:r>
      <w:r w:rsidRPr="00D54DAD">
        <w:rPr>
          <w:rFonts w:ascii="Bookman Old Style" w:hAnsi="Bookman Old Style"/>
          <w:b/>
          <w:sz w:val="24"/>
          <w:szCs w:val="24"/>
        </w:rPr>
        <w:t xml:space="preserve">nenhuma nova contratação de </w:t>
      </w:r>
      <w:r w:rsidR="00E23892">
        <w:rPr>
          <w:rFonts w:ascii="Bookman Old Style" w:hAnsi="Bookman Old Style"/>
          <w:b/>
          <w:sz w:val="24"/>
          <w:szCs w:val="24"/>
        </w:rPr>
        <w:t>Chefe de Gabinete e/ou Assessor Parlamentar</w:t>
      </w:r>
      <w:r>
        <w:rPr>
          <w:rFonts w:ascii="Bookman Old Style" w:hAnsi="Bookman Old Style"/>
          <w:sz w:val="24"/>
          <w:szCs w:val="24"/>
        </w:rPr>
        <w:t xml:space="preserve"> que não possua o nível superior, ainda que </w:t>
      </w:r>
      <w:r w:rsidR="001C5359">
        <w:rPr>
          <w:rFonts w:ascii="Bookman Old Style" w:hAnsi="Bookman Old Style"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substituição </w:t>
      </w:r>
      <w:r w:rsidR="001C5359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outro anteriormente nomeado. </w:t>
      </w:r>
    </w:p>
    <w:p w:rsidR="00D54DAD" w:rsidRDefault="00D54DAD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470CD" w:rsidRDefault="005470CD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470CD" w:rsidRDefault="005470CD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Assim sendo, reconhece esta Casa de Leis que aumentar a exigência do nível de escolaridade de nível médio para superior representa um grande avanço na melhoria no serviço público.</w:t>
      </w:r>
    </w:p>
    <w:p w:rsidR="00491174" w:rsidRDefault="00491174" w:rsidP="00491174">
      <w:pPr>
        <w:spacing w:after="0"/>
        <w:ind w:firstLine="1843"/>
        <w:jc w:val="both"/>
        <w:rPr>
          <w:rFonts w:ascii="Bookman Old Style" w:hAnsi="Bookman Old Style"/>
          <w:sz w:val="24"/>
          <w:szCs w:val="24"/>
        </w:rPr>
      </w:pPr>
    </w:p>
    <w:p w:rsidR="005470CD" w:rsidRDefault="005470CD" w:rsidP="00491174">
      <w:pPr>
        <w:pStyle w:val="SemEspaamento"/>
        <w:ind w:firstLine="1843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491174" w:rsidRPr="00A42E70" w:rsidRDefault="00491174" w:rsidP="00491174">
      <w:pPr>
        <w:pStyle w:val="SemEspaamento"/>
        <w:ind w:firstLine="184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A42E70">
        <w:rPr>
          <w:rFonts w:ascii="Bookman Old Style" w:hAnsi="Bookman Old Style" w:cs="Arial"/>
          <w:color w:val="000000"/>
          <w:sz w:val="24"/>
          <w:szCs w:val="24"/>
        </w:rPr>
        <w:t>Diante das ponderações ora feitas, e na expectativa de atender as determinações dos órgãos de controle, sem desconsiderar a autonomia desta Casa de Leis, espera-se a anuência dos Nobres Pares.</w:t>
      </w:r>
    </w:p>
    <w:p w:rsidR="00491174" w:rsidRPr="00A42E70" w:rsidRDefault="00491174" w:rsidP="00491174">
      <w:pPr>
        <w:pStyle w:val="SemEspaamento"/>
        <w:ind w:firstLine="1985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491174" w:rsidRPr="00A42E70" w:rsidRDefault="00491174" w:rsidP="00491174">
      <w:pPr>
        <w:pStyle w:val="SemEspaamento"/>
        <w:ind w:firstLine="1985"/>
        <w:jc w:val="both"/>
        <w:rPr>
          <w:rFonts w:ascii="Bookman Old Style" w:hAnsi="Bookman Old Style" w:cs="Times New Roman"/>
          <w:sz w:val="24"/>
          <w:szCs w:val="24"/>
        </w:rPr>
      </w:pPr>
      <w:r w:rsidRPr="00A42E70">
        <w:rPr>
          <w:rFonts w:ascii="Bookman Old Style" w:hAnsi="Bookman Old Style" w:cs="Arial"/>
          <w:b/>
          <w:color w:val="000000"/>
          <w:sz w:val="24"/>
          <w:szCs w:val="24"/>
        </w:rPr>
        <w:t>SALA DAS SESSÕES</w:t>
      </w:r>
      <w:r w:rsidRPr="00A42E70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16</w:t>
      </w:r>
      <w:r w:rsidRPr="00A42E70">
        <w:rPr>
          <w:rFonts w:ascii="Bookman Old Style" w:hAnsi="Bookman Old Style" w:cs="Times New Roman"/>
          <w:sz w:val="24"/>
          <w:szCs w:val="24"/>
        </w:rPr>
        <w:t xml:space="preserve"> de agosto de 2017.</w:t>
      </w: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491174" w:rsidRDefault="00491174" w:rsidP="0049117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42E70">
        <w:rPr>
          <w:rFonts w:ascii="Bookman Old Style" w:hAnsi="Bookman Old Style"/>
          <w:b/>
          <w:sz w:val="24"/>
          <w:szCs w:val="24"/>
        </w:rPr>
        <w:t>Flávio Monte</w:t>
      </w: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42E70">
        <w:rPr>
          <w:rFonts w:ascii="Bookman Old Style" w:hAnsi="Bookman Old Style"/>
          <w:b/>
          <w:sz w:val="24"/>
          <w:szCs w:val="24"/>
        </w:rPr>
        <w:t>Presidente – DEM</w:t>
      </w: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491174" w:rsidRPr="00611C0E" w:rsidRDefault="00491174" w:rsidP="001C5359">
      <w:pPr>
        <w:rPr>
          <w:rFonts w:ascii="Bookman Old Style" w:hAnsi="Bookman Old Style" w:cs="Times New Roman"/>
          <w:b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sz w:val="32"/>
          <w:szCs w:val="32"/>
          <w:u w:val="single"/>
        </w:rPr>
        <w:br w:type="page"/>
      </w:r>
      <w:r w:rsidRPr="00611C0E">
        <w:rPr>
          <w:rFonts w:ascii="Bookman Old Style" w:hAnsi="Bookman Old Style" w:cs="Times New Roman"/>
          <w:b/>
          <w:sz w:val="32"/>
          <w:szCs w:val="32"/>
          <w:u w:val="single"/>
        </w:rPr>
        <w:lastRenderedPageBreak/>
        <w:t>PALÁCIO 1º DE NOVEMBRO</w:t>
      </w:r>
    </w:p>
    <w:p w:rsidR="00491174" w:rsidRPr="00A42E70" w:rsidRDefault="00491174" w:rsidP="00491174">
      <w:pPr>
        <w:pStyle w:val="SemEspaamento"/>
        <w:ind w:left="1418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91174" w:rsidRPr="00A42E70" w:rsidRDefault="00491174" w:rsidP="00491174">
      <w:pPr>
        <w:pStyle w:val="SemEspaamento"/>
        <w:ind w:left="1418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91174" w:rsidRPr="00A42E70" w:rsidRDefault="00964FBC" w:rsidP="00491174">
      <w:pPr>
        <w:pStyle w:val="SemEspaamento"/>
        <w:ind w:left="14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PROJETO DE RESOLUÇÃO Nº 17</w:t>
      </w:r>
      <w:bookmarkStart w:id="0" w:name="_GoBack"/>
      <w:bookmarkEnd w:id="0"/>
      <w:r w:rsidR="00491174" w:rsidRPr="00A42E70">
        <w:rPr>
          <w:rFonts w:ascii="Bookman Old Style" w:hAnsi="Bookman Old Style" w:cs="Times New Roman"/>
          <w:b/>
          <w:sz w:val="24"/>
          <w:szCs w:val="24"/>
        </w:rPr>
        <w:t xml:space="preserve">/2017, QUE ALTERA OS ARTIGOS </w:t>
      </w:r>
      <w:r w:rsidR="00491174" w:rsidRPr="00551A32">
        <w:rPr>
          <w:rFonts w:ascii="Bookman Old Style" w:hAnsi="Bookman Old Style"/>
          <w:b/>
          <w:sz w:val="24"/>
          <w:szCs w:val="24"/>
        </w:rPr>
        <w:t>71, 79, 80, 81</w:t>
      </w:r>
      <w:r w:rsidR="009E1675">
        <w:rPr>
          <w:rFonts w:ascii="Bookman Old Style" w:hAnsi="Bookman Old Style"/>
          <w:b/>
          <w:sz w:val="24"/>
          <w:szCs w:val="24"/>
        </w:rPr>
        <w:t xml:space="preserve"> e</w:t>
      </w:r>
      <w:r w:rsidR="00491174">
        <w:rPr>
          <w:rFonts w:ascii="Bookman Old Style" w:hAnsi="Bookman Old Style"/>
          <w:b/>
          <w:sz w:val="24"/>
          <w:szCs w:val="24"/>
        </w:rPr>
        <w:t xml:space="preserve"> </w:t>
      </w:r>
      <w:r w:rsidR="00491174" w:rsidRPr="00551A32">
        <w:rPr>
          <w:rFonts w:ascii="Bookman Old Style" w:hAnsi="Bookman Old Style"/>
          <w:b/>
          <w:sz w:val="24"/>
          <w:szCs w:val="24"/>
        </w:rPr>
        <w:t>82</w:t>
      </w:r>
      <w:r w:rsidR="00491174" w:rsidRPr="00A42E70">
        <w:rPr>
          <w:rFonts w:ascii="Bookman Old Style" w:hAnsi="Bookman Old Style" w:cs="Times New Roman"/>
          <w:b/>
          <w:sz w:val="24"/>
          <w:szCs w:val="24"/>
        </w:rPr>
        <w:t>, DA RESOLUÇÃO Nº 17/2014, QUE ‘</w:t>
      </w:r>
      <w:r w:rsidR="00491174" w:rsidRPr="00A42E70">
        <w:rPr>
          <w:rFonts w:ascii="Bookman Old Style" w:hAnsi="Bookman Old Style"/>
          <w:b/>
          <w:bCs/>
          <w:i/>
          <w:iCs/>
          <w:sz w:val="24"/>
          <w:szCs w:val="24"/>
        </w:rPr>
        <w:t>DISPÕE SOBRE A ORGANIZAÇÃO E A ESTRUTURA ADMINISTRATIVA DA CÂMARA MUNICIPAL DE ITATIBA</w:t>
      </w:r>
      <w:r w:rsidR="00491174" w:rsidRPr="00A42E70">
        <w:rPr>
          <w:rFonts w:ascii="Bookman Old Style" w:hAnsi="Bookman Old Style"/>
          <w:b/>
          <w:bCs/>
          <w:iCs/>
          <w:sz w:val="24"/>
          <w:szCs w:val="24"/>
        </w:rPr>
        <w:t>’</w:t>
      </w:r>
      <w:r w:rsidR="00491174">
        <w:rPr>
          <w:rFonts w:ascii="Bookman Old Style" w:hAnsi="Bookman Old Style"/>
          <w:b/>
          <w:sz w:val="24"/>
          <w:szCs w:val="24"/>
        </w:rPr>
        <w:t xml:space="preserve"> E DÁ OUTRAS PROVIDÊNCIAS</w:t>
      </w:r>
      <w:r w:rsidR="00491174" w:rsidRPr="00A42E70">
        <w:rPr>
          <w:rFonts w:ascii="Bookman Old Style" w:hAnsi="Bookman Old Style"/>
          <w:b/>
          <w:sz w:val="24"/>
          <w:szCs w:val="24"/>
        </w:rPr>
        <w:t>”</w:t>
      </w:r>
      <w:r w:rsidR="00491174">
        <w:rPr>
          <w:rFonts w:ascii="Bookman Old Style" w:hAnsi="Bookman Old Style"/>
          <w:b/>
          <w:sz w:val="24"/>
          <w:szCs w:val="24"/>
        </w:rPr>
        <w:t>.</w:t>
      </w:r>
    </w:p>
    <w:p w:rsidR="00491174" w:rsidRPr="00A42E70" w:rsidRDefault="00491174" w:rsidP="00491174">
      <w:pPr>
        <w:pStyle w:val="SemEspaamento"/>
        <w:ind w:left="1418"/>
        <w:jc w:val="both"/>
        <w:rPr>
          <w:rFonts w:ascii="Bookman Old Style" w:hAnsi="Bookman Old Style"/>
          <w:b/>
          <w:sz w:val="24"/>
          <w:szCs w:val="24"/>
        </w:rPr>
      </w:pP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  <w:r w:rsidRPr="00A42E70">
        <w:rPr>
          <w:rFonts w:ascii="Bookman Old Style" w:hAnsi="Bookman Old Style"/>
          <w:b/>
          <w:sz w:val="24"/>
          <w:szCs w:val="24"/>
        </w:rPr>
        <w:t>A CÂMARA MUNICIPAL DE ITATIBA APROVA</w:t>
      </w:r>
      <w:r w:rsidRPr="00A42E70">
        <w:rPr>
          <w:rFonts w:ascii="Bookman Old Style" w:hAnsi="Bookman Old Style"/>
          <w:sz w:val="24"/>
          <w:szCs w:val="24"/>
        </w:rPr>
        <w:t>:</w:t>
      </w:r>
    </w:p>
    <w:p w:rsidR="00491174" w:rsidRPr="00A42E70" w:rsidRDefault="00491174" w:rsidP="00491174">
      <w:pPr>
        <w:pStyle w:val="SemEspaamento"/>
        <w:rPr>
          <w:rFonts w:ascii="Bookman Old Style" w:hAnsi="Bookman Old Style"/>
          <w:sz w:val="24"/>
          <w:szCs w:val="24"/>
        </w:rPr>
      </w:pPr>
    </w:p>
    <w:p w:rsidR="00491174" w:rsidRPr="001E14E9" w:rsidRDefault="00491174" w:rsidP="00491174">
      <w:pPr>
        <w:pStyle w:val="SemEspaamento"/>
        <w:ind w:firstLine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Art. 1º</w:t>
      </w:r>
      <w:r w:rsidRPr="001E14E9">
        <w:rPr>
          <w:rFonts w:ascii="Bookman Old Style" w:hAnsi="Bookman Old Style"/>
          <w:sz w:val="24"/>
          <w:szCs w:val="24"/>
        </w:rPr>
        <w:t>. Os artigos nºs 71, 7</w:t>
      </w:r>
      <w:r>
        <w:rPr>
          <w:rFonts w:ascii="Bookman Old Style" w:hAnsi="Bookman Old Style"/>
          <w:sz w:val="24"/>
          <w:szCs w:val="24"/>
        </w:rPr>
        <w:t>9</w:t>
      </w:r>
      <w:r w:rsidRPr="001E14E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80, </w:t>
      </w:r>
      <w:r w:rsidRPr="001E14E9">
        <w:rPr>
          <w:rFonts w:ascii="Bookman Old Style" w:hAnsi="Bookman Old Style"/>
          <w:sz w:val="24"/>
          <w:szCs w:val="24"/>
        </w:rPr>
        <w:t>81</w:t>
      </w:r>
      <w:r w:rsidR="009E1675">
        <w:rPr>
          <w:rFonts w:ascii="Bookman Old Style" w:hAnsi="Bookman Old Style"/>
          <w:sz w:val="24"/>
          <w:szCs w:val="24"/>
        </w:rPr>
        <w:t xml:space="preserve"> e</w:t>
      </w:r>
      <w:r w:rsidRPr="001E14E9">
        <w:rPr>
          <w:rFonts w:ascii="Bookman Old Style" w:hAnsi="Bookman Old Style"/>
          <w:sz w:val="24"/>
          <w:szCs w:val="24"/>
        </w:rPr>
        <w:t xml:space="preserve"> 82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1E14E9">
        <w:rPr>
          <w:rFonts w:ascii="Bookman Old Style" w:hAnsi="Bookman Old Style"/>
          <w:sz w:val="24"/>
          <w:szCs w:val="24"/>
        </w:rPr>
        <w:t>da Resolução nº 17/2014, passam a vigorar com as seguintes redações:</w:t>
      </w:r>
    </w:p>
    <w:p w:rsidR="00491174" w:rsidRPr="001E14E9" w:rsidRDefault="00491174" w:rsidP="00491174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sz w:val="24"/>
          <w:szCs w:val="24"/>
        </w:rPr>
        <w:t>“</w:t>
      </w:r>
      <w:r w:rsidRPr="001E14E9">
        <w:rPr>
          <w:rFonts w:ascii="Bookman Old Style" w:hAnsi="Bookman Old Style"/>
          <w:b/>
          <w:i/>
          <w:sz w:val="24"/>
          <w:szCs w:val="24"/>
        </w:rPr>
        <w:t>Art. 71 –</w:t>
      </w:r>
      <w:r w:rsidRPr="001E14E9">
        <w:rPr>
          <w:rFonts w:ascii="Bookman Old Style" w:hAnsi="Bookman Old Style"/>
          <w:i/>
          <w:sz w:val="24"/>
          <w:szCs w:val="24"/>
        </w:rPr>
        <w:t xml:space="preserve"> Ao Técnico de Som e Imagem, subordinado diretamente ao Diretor Geral, compete</w:t>
      </w:r>
      <w:r w:rsidRPr="001E14E9">
        <w:rPr>
          <w:rFonts w:ascii="Bookman Old Style" w:hAnsi="Bookman Old Style"/>
          <w:sz w:val="24"/>
          <w:szCs w:val="24"/>
        </w:rPr>
        <w:t>:”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sz w:val="24"/>
          <w:szCs w:val="24"/>
        </w:rPr>
        <w:t>“</w:t>
      </w:r>
      <w:r w:rsidRPr="001E14E9">
        <w:rPr>
          <w:rFonts w:ascii="Bookman Old Style" w:hAnsi="Bookman Old Style"/>
          <w:b/>
          <w:i/>
          <w:sz w:val="24"/>
          <w:szCs w:val="24"/>
        </w:rPr>
        <w:t xml:space="preserve">Art. 79 - </w:t>
      </w:r>
      <w:r w:rsidRPr="001E14E9">
        <w:rPr>
          <w:rFonts w:ascii="Bookman Old Style" w:hAnsi="Bookman Old Style"/>
          <w:i/>
          <w:sz w:val="24"/>
          <w:szCs w:val="24"/>
        </w:rPr>
        <w:t>Ao Chefe de Gabinete Parlamentar, subordinado diretamente ao Vereador, em função de estrita confiança, compete:”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I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Assinar o expediente do Gabinete, ressalvadas as proposituras;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II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acompanhar o Vereador em missões oficiais;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III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representar o Vereador junto a autoridades;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IV</w:t>
      </w:r>
      <w:r w:rsidRPr="001E14E9">
        <w:rPr>
          <w:rFonts w:ascii="Bookman Old Style" w:hAnsi="Bookman Old Style"/>
          <w:i/>
          <w:sz w:val="24"/>
          <w:szCs w:val="24"/>
        </w:rPr>
        <w:t xml:space="preserve"> –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 w:rsidRPr="001E14E9">
        <w:rPr>
          <w:rFonts w:ascii="Bookman Old Style" w:hAnsi="Bookman Old Style"/>
          <w:i/>
          <w:sz w:val="24"/>
          <w:szCs w:val="24"/>
        </w:rPr>
        <w:t>elaborar estudos e pareceres em processos e proposições do Legislativo;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V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analisar e propor ações de fiscalização do Executivo;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VI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estruturar anteprojetos, elaborar textos e coletar informações externas para formulação de proposituras;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VII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revisar os programas e projetos relativos à atividade legislativa;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i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VIII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verificar todos os projetos, linguagem, fórmulas e aplicações nas alterações das legislações e proposituras;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i/>
          <w:sz w:val="24"/>
          <w:szCs w:val="24"/>
        </w:rPr>
        <w:t>IX</w:t>
      </w:r>
      <w:r w:rsidRPr="001E14E9">
        <w:rPr>
          <w:rFonts w:ascii="Bookman Old Style" w:hAnsi="Bookman Old Style"/>
          <w:i/>
          <w:sz w:val="24"/>
          <w:szCs w:val="24"/>
        </w:rPr>
        <w:t xml:space="preserve"> – executar outras atividades correlatas</w:t>
      </w:r>
      <w:r w:rsidRPr="001E14E9">
        <w:rPr>
          <w:rFonts w:ascii="Bookman Old Style" w:hAnsi="Bookman Old Style"/>
          <w:sz w:val="24"/>
          <w:szCs w:val="24"/>
        </w:rPr>
        <w:t>”.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sz w:val="24"/>
          <w:szCs w:val="24"/>
        </w:rPr>
        <w:lastRenderedPageBreak/>
        <w:t>“</w:t>
      </w:r>
      <w:r w:rsidRPr="001E14E9">
        <w:rPr>
          <w:rFonts w:ascii="Bookman Old Style" w:hAnsi="Bookman Old Style"/>
          <w:b/>
          <w:sz w:val="24"/>
          <w:szCs w:val="24"/>
        </w:rPr>
        <w:t xml:space="preserve">Art. 80 - </w:t>
      </w:r>
      <w:r w:rsidRPr="009F3B31">
        <w:rPr>
          <w:rFonts w:ascii="Bookman Old Style" w:hAnsi="Bookman Old Style"/>
          <w:i/>
          <w:sz w:val="24"/>
          <w:szCs w:val="24"/>
        </w:rPr>
        <w:t>São requisitos para o exercício do cargo de Chefe de Gabinete Parlamentar</w:t>
      </w:r>
      <w:r w:rsidRPr="001E14E9">
        <w:rPr>
          <w:rFonts w:ascii="Bookman Old Style" w:hAnsi="Bookman Old Style"/>
          <w:sz w:val="24"/>
          <w:szCs w:val="24"/>
        </w:rPr>
        <w:t>: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 xml:space="preserve">I </w:t>
      </w:r>
      <w:r w:rsidRPr="001E14E9">
        <w:rPr>
          <w:rFonts w:ascii="Bookman Old Style" w:hAnsi="Bookman Old Style"/>
          <w:sz w:val="24"/>
          <w:szCs w:val="24"/>
        </w:rPr>
        <w:t>–</w:t>
      </w:r>
      <w:r w:rsidRPr="001E14E9">
        <w:rPr>
          <w:rFonts w:ascii="Bookman Old Style" w:hAnsi="Bookman Old Style"/>
          <w:b/>
          <w:sz w:val="24"/>
          <w:szCs w:val="24"/>
        </w:rPr>
        <w:t xml:space="preserve"> </w:t>
      </w:r>
      <w:r w:rsidRPr="001E14E9">
        <w:rPr>
          <w:rFonts w:ascii="Bookman Old Style" w:hAnsi="Bookman Old Style"/>
          <w:i/>
          <w:sz w:val="24"/>
          <w:szCs w:val="24"/>
        </w:rPr>
        <w:t>Ensino superior completo, comprovado mediante diploma original</w:t>
      </w:r>
      <w:r w:rsidRPr="001E14E9">
        <w:rPr>
          <w:rFonts w:ascii="Bookman Old Style" w:hAnsi="Bookman Old Style"/>
          <w:sz w:val="24"/>
          <w:szCs w:val="24"/>
        </w:rPr>
        <w:t>.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II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 xml:space="preserve">Idade mínima de </w:t>
      </w:r>
      <w:r w:rsidR="00757651">
        <w:rPr>
          <w:rFonts w:ascii="Bookman Old Style" w:hAnsi="Bookman Old Style"/>
          <w:i/>
          <w:sz w:val="24"/>
          <w:szCs w:val="24"/>
        </w:rPr>
        <w:t>21</w:t>
      </w:r>
      <w:r w:rsidRPr="001E14E9">
        <w:rPr>
          <w:rFonts w:ascii="Bookman Old Style" w:hAnsi="Bookman Old Style"/>
          <w:i/>
          <w:sz w:val="24"/>
          <w:szCs w:val="24"/>
        </w:rPr>
        <w:t xml:space="preserve"> (</w:t>
      </w:r>
      <w:r w:rsidR="00757651">
        <w:rPr>
          <w:rFonts w:ascii="Bookman Old Style" w:hAnsi="Bookman Old Style"/>
          <w:i/>
          <w:sz w:val="24"/>
          <w:szCs w:val="24"/>
        </w:rPr>
        <w:t>vinte e um</w:t>
      </w:r>
      <w:r w:rsidRPr="001E14E9">
        <w:rPr>
          <w:rFonts w:ascii="Bookman Old Style" w:hAnsi="Bookman Old Style"/>
          <w:i/>
          <w:sz w:val="24"/>
          <w:szCs w:val="24"/>
        </w:rPr>
        <w:t>) anos</w:t>
      </w:r>
      <w:r w:rsidRPr="001E14E9">
        <w:rPr>
          <w:rFonts w:ascii="Bookman Old Style" w:hAnsi="Bookman Old Style"/>
          <w:sz w:val="24"/>
          <w:szCs w:val="24"/>
        </w:rPr>
        <w:t>”.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Cs/>
          <w:sz w:val="24"/>
          <w:szCs w:val="24"/>
        </w:rPr>
        <w:t>“</w:t>
      </w:r>
      <w:r w:rsidRPr="001E14E9">
        <w:rPr>
          <w:rFonts w:ascii="Bookman Old Style" w:hAnsi="Bookman Old Style"/>
          <w:b/>
          <w:i/>
          <w:sz w:val="24"/>
          <w:szCs w:val="24"/>
        </w:rPr>
        <w:t>Art. 81</w:t>
      </w:r>
      <w:r w:rsidRPr="001E14E9">
        <w:rPr>
          <w:rFonts w:ascii="Bookman Old Style" w:hAnsi="Bookman Old Style"/>
          <w:b/>
          <w:sz w:val="24"/>
          <w:szCs w:val="24"/>
        </w:rPr>
        <w:t xml:space="preserve"> </w:t>
      </w:r>
      <w:r w:rsidRPr="001E14E9">
        <w:rPr>
          <w:rFonts w:ascii="Bookman Old Style" w:hAnsi="Bookman Old Style"/>
          <w:sz w:val="24"/>
          <w:szCs w:val="24"/>
        </w:rPr>
        <w:t xml:space="preserve">– </w:t>
      </w:r>
      <w:r w:rsidRPr="00047A15">
        <w:rPr>
          <w:rFonts w:ascii="Bookman Old Style" w:hAnsi="Bookman Old Style"/>
          <w:i/>
          <w:sz w:val="24"/>
          <w:szCs w:val="24"/>
        </w:rPr>
        <w:t>Ao Assessor Parlamentar, subordinado diretamente ao Chefe de Gabinete Parlamentar, em função de estrita confiança do Vereador, compete</w:t>
      </w:r>
      <w:r w:rsidRPr="001E14E9">
        <w:rPr>
          <w:rFonts w:ascii="Bookman Old Style" w:hAnsi="Bookman Old Style"/>
          <w:sz w:val="24"/>
          <w:szCs w:val="24"/>
        </w:rPr>
        <w:t>: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I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>Elaborar estudos e pareceres em processos e proposições do Legislativo</w:t>
      </w:r>
      <w:r w:rsidRPr="001E14E9">
        <w:rPr>
          <w:rFonts w:ascii="Bookman Old Style" w:hAnsi="Bookman Old Style"/>
          <w:sz w:val="24"/>
          <w:szCs w:val="24"/>
        </w:rPr>
        <w:t>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II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>analisar e propor ações de fiscalização do Executivo</w:t>
      </w:r>
      <w:r w:rsidRPr="001E14E9">
        <w:rPr>
          <w:rFonts w:ascii="Bookman Old Style" w:hAnsi="Bookman Old Style"/>
          <w:sz w:val="24"/>
          <w:szCs w:val="24"/>
        </w:rPr>
        <w:t>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III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>estruturar anteprojetos, elaborar textos e coletar informações externas para formulação de proposituras</w:t>
      </w:r>
      <w:r w:rsidRPr="001E14E9">
        <w:rPr>
          <w:rFonts w:ascii="Bookman Old Style" w:hAnsi="Bookman Old Style"/>
          <w:sz w:val="24"/>
          <w:szCs w:val="24"/>
        </w:rPr>
        <w:t>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IV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>revisar os programas e projetos relativos à atividade legislativa</w:t>
      </w:r>
      <w:r w:rsidRPr="001E14E9">
        <w:rPr>
          <w:rFonts w:ascii="Bookman Old Style" w:hAnsi="Bookman Old Style"/>
          <w:sz w:val="24"/>
          <w:szCs w:val="24"/>
        </w:rPr>
        <w:t>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V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>verificar todos os projetos, linguagem, fórmulas e aplicações nas alterações das legislações e proposituras</w:t>
      </w:r>
      <w:r w:rsidRPr="001E14E9">
        <w:rPr>
          <w:rFonts w:ascii="Bookman Old Style" w:hAnsi="Bookman Old Style"/>
          <w:sz w:val="24"/>
          <w:szCs w:val="24"/>
        </w:rPr>
        <w:t>;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VI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>executar outras atividades correlatas</w:t>
      </w:r>
      <w:r w:rsidRPr="001E14E9">
        <w:rPr>
          <w:rFonts w:ascii="Bookman Old Style" w:hAnsi="Bookman Old Style"/>
          <w:sz w:val="24"/>
          <w:szCs w:val="24"/>
        </w:rPr>
        <w:t>”.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sz w:val="24"/>
          <w:szCs w:val="24"/>
        </w:rPr>
        <w:t>“</w:t>
      </w:r>
      <w:r w:rsidRPr="001E14E9">
        <w:rPr>
          <w:rFonts w:ascii="Bookman Old Style" w:hAnsi="Bookman Old Style"/>
          <w:b/>
          <w:i/>
          <w:sz w:val="24"/>
          <w:szCs w:val="24"/>
        </w:rPr>
        <w:t xml:space="preserve">Art. 82 - </w:t>
      </w:r>
      <w:r w:rsidRPr="001E14E9">
        <w:rPr>
          <w:rFonts w:ascii="Bookman Old Style" w:hAnsi="Bookman Old Style"/>
          <w:i/>
          <w:sz w:val="24"/>
          <w:szCs w:val="24"/>
        </w:rPr>
        <w:t>São requisitos para o exercício do cargo de Assessor Parlamentar</w:t>
      </w:r>
      <w:r w:rsidRPr="001E14E9">
        <w:rPr>
          <w:rFonts w:ascii="Bookman Old Style" w:hAnsi="Bookman Old Style"/>
          <w:sz w:val="24"/>
          <w:szCs w:val="24"/>
        </w:rPr>
        <w:t>:</w:t>
      </w:r>
    </w:p>
    <w:p w:rsidR="00491174" w:rsidRPr="001E14E9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 xml:space="preserve">I </w:t>
      </w:r>
      <w:r w:rsidRPr="001E14E9">
        <w:rPr>
          <w:rFonts w:ascii="Bookman Old Style" w:hAnsi="Bookman Old Style"/>
          <w:sz w:val="24"/>
          <w:szCs w:val="24"/>
        </w:rPr>
        <w:t>–</w:t>
      </w:r>
      <w:r w:rsidRPr="001E14E9">
        <w:rPr>
          <w:rFonts w:ascii="Bookman Old Style" w:hAnsi="Bookman Old Style"/>
          <w:b/>
          <w:sz w:val="24"/>
          <w:szCs w:val="24"/>
        </w:rPr>
        <w:t xml:space="preserve"> </w:t>
      </w:r>
      <w:r w:rsidRPr="001E14E9">
        <w:rPr>
          <w:rFonts w:ascii="Bookman Old Style" w:hAnsi="Bookman Old Style"/>
          <w:i/>
          <w:sz w:val="24"/>
          <w:szCs w:val="24"/>
        </w:rPr>
        <w:t>Ensino superior completo, comprovado mediante diploma original</w:t>
      </w:r>
      <w:r w:rsidRPr="001E14E9">
        <w:rPr>
          <w:rFonts w:ascii="Bookman Old Style" w:hAnsi="Bookman Old Style"/>
          <w:sz w:val="24"/>
          <w:szCs w:val="24"/>
        </w:rPr>
        <w:t>.</w:t>
      </w:r>
    </w:p>
    <w:p w:rsidR="00491174" w:rsidRDefault="00491174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II</w:t>
      </w:r>
      <w:r w:rsidRPr="001E14E9">
        <w:rPr>
          <w:rFonts w:ascii="Bookman Old Style" w:hAnsi="Bookman Old Style"/>
          <w:sz w:val="24"/>
          <w:szCs w:val="24"/>
        </w:rPr>
        <w:t xml:space="preserve"> – </w:t>
      </w:r>
      <w:r w:rsidRPr="001E14E9">
        <w:rPr>
          <w:rFonts w:ascii="Bookman Old Style" w:hAnsi="Bookman Old Style"/>
          <w:i/>
          <w:sz w:val="24"/>
          <w:szCs w:val="24"/>
        </w:rPr>
        <w:t xml:space="preserve">Idade mínima de </w:t>
      </w:r>
      <w:r w:rsidR="00993D97">
        <w:rPr>
          <w:rFonts w:ascii="Bookman Old Style" w:hAnsi="Bookman Old Style"/>
          <w:i/>
          <w:sz w:val="24"/>
          <w:szCs w:val="24"/>
        </w:rPr>
        <w:t>21</w:t>
      </w:r>
      <w:r w:rsidRPr="001E14E9">
        <w:rPr>
          <w:rFonts w:ascii="Bookman Old Style" w:hAnsi="Bookman Old Style"/>
          <w:i/>
          <w:sz w:val="24"/>
          <w:szCs w:val="24"/>
        </w:rPr>
        <w:t xml:space="preserve"> (</w:t>
      </w:r>
      <w:r w:rsidR="00993D97">
        <w:rPr>
          <w:rFonts w:ascii="Bookman Old Style" w:hAnsi="Bookman Old Style"/>
          <w:i/>
          <w:sz w:val="24"/>
          <w:szCs w:val="24"/>
        </w:rPr>
        <w:t>vinte e um</w:t>
      </w:r>
      <w:r w:rsidRPr="001E14E9">
        <w:rPr>
          <w:rFonts w:ascii="Bookman Old Style" w:hAnsi="Bookman Old Style"/>
          <w:i/>
          <w:sz w:val="24"/>
          <w:szCs w:val="24"/>
        </w:rPr>
        <w:t>) anos</w:t>
      </w:r>
      <w:r w:rsidRPr="001E14E9">
        <w:rPr>
          <w:rFonts w:ascii="Bookman Old Style" w:hAnsi="Bookman Old Style"/>
          <w:sz w:val="24"/>
          <w:szCs w:val="24"/>
        </w:rPr>
        <w:t>”.</w:t>
      </w:r>
    </w:p>
    <w:p w:rsidR="0057380F" w:rsidRDefault="0057380F" w:rsidP="00491174">
      <w:pPr>
        <w:ind w:left="2127"/>
        <w:jc w:val="both"/>
        <w:rPr>
          <w:rFonts w:ascii="Bookman Old Style" w:hAnsi="Bookman Old Style"/>
          <w:sz w:val="24"/>
          <w:szCs w:val="24"/>
        </w:rPr>
      </w:pPr>
    </w:p>
    <w:p w:rsidR="00491174" w:rsidRDefault="00491174" w:rsidP="00491174">
      <w:pPr>
        <w:ind w:firstLine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t>Art.</w:t>
      </w:r>
      <w:r w:rsidR="0024209B">
        <w:rPr>
          <w:rFonts w:ascii="Bookman Old Style" w:hAnsi="Bookman Old Style"/>
          <w:b/>
          <w:sz w:val="24"/>
          <w:szCs w:val="24"/>
        </w:rPr>
        <w:t xml:space="preserve">2º. </w:t>
      </w:r>
      <w:r w:rsidRPr="001E14E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Aos atuais ocupantes dos cargos em comissão de Chefe de Gabinete Parlamentar e Assessor Parlamentar que não possuam, na data da publicação desta Resolução, os pré-requisitos de escolaridade exigidos, </w:t>
      </w:r>
      <w:r w:rsidR="0057380F">
        <w:rPr>
          <w:rFonts w:ascii="Bookman Old Style" w:hAnsi="Bookman Old Style"/>
          <w:sz w:val="24"/>
          <w:szCs w:val="24"/>
        </w:rPr>
        <w:t xml:space="preserve">ou </w:t>
      </w:r>
      <w:r w:rsidR="009E1675">
        <w:rPr>
          <w:rFonts w:ascii="Bookman Old Style" w:hAnsi="Bookman Old Style"/>
          <w:sz w:val="24"/>
          <w:szCs w:val="24"/>
        </w:rPr>
        <w:t>a</w:t>
      </w:r>
      <w:r w:rsidR="0057380F">
        <w:rPr>
          <w:rFonts w:ascii="Bookman Old Style" w:hAnsi="Bookman Old Style"/>
          <w:sz w:val="24"/>
          <w:szCs w:val="24"/>
        </w:rPr>
        <w:t xml:space="preserve"> ela não se adequarem, serão automaticamente exonerados no </w:t>
      </w:r>
      <w:r>
        <w:rPr>
          <w:rFonts w:ascii="Bookman Old Style" w:hAnsi="Bookman Old Style"/>
          <w:sz w:val="24"/>
          <w:szCs w:val="24"/>
        </w:rPr>
        <w:t>fim desta legislatura</w:t>
      </w:r>
      <w:r w:rsidRPr="001E14E9">
        <w:rPr>
          <w:rFonts w:ascii="Bookman Old Style" w:hAnsi="Bookman Old Style"/>
          <w:sz w:val="24"/>
          <w:szCs w:val="24"/>
        </w:rPr>
        <w:t>.</w:t>
      </w:r>
    </w:p>
    <w:p w:rsidR="009E1675" w:rsidRDefault="009E1675" w:rsidP="00491174">
      <w:pPr>
        <w:ind w:firstLine="2127"/>
        <w:jc w:val="both"/>
        <w:rPr>
          <w:rFonts w:ascii="Bookman Old Style" w:hAnsi="Bookman Old Style"/>
          <w:sz w:val="24"/>
          <w:szCs w:val="24"/>
        </w:rPr>
      </w:pPr>
    </w:p>
    <w:p w:rsidR="009E1675" w:rsidRPr="001E14E9" w:rsidRDefault="009E1675" w:rsidP="00491174">
      <w:pPr>
        <w:ind w:firstLine="2127"/>
        <w:jc w:val="both"/>
        <w:rPr>
          <w:rFonts w:ascii="Bookman Old Style" w:hAnsi="Bookman Old Style"/>
          <w:sz w:val="24"/>
          <w:szCs w:val="24"/>
        </w:rPr>
      </w:pPr>
    </w:p>
    <w:p w:rsidR="00491174" w:rsidRPr="001E14E9" w:rsidRDefault="00491174" w:rsidP="00491174">
      <w:pPr>
        <w:pStyle w:val="SemEspaamento"/>
        <w:ind w:firstLine="2127"/>
        <w:jc w:val="both"/>
        <w:rPr>
          <w:rFonts w:ascii="Bookman Old Style" w:hAnsi="Bookman Old Style"/>
          <w:sz w:val="24"/>
          <w:szCs w:val="24"/>
        </w:rPr>
      </w:pPr>
      <w:r w:rsidRPr="001E14E9">
        <w:rPr>
          <w:rFonts w:ascii="Bookman Old Style" w:hAnsi="Bookman Old Style"/>
          <w:b/>
          <w:sz w:val="24"/>
          <w:szCs w:val="24"/>
        </w:rPr>
        <w:lastRenderedPageBreak/>
        <w:t xml:space="preserve">Art. </w:t>
      </w:r>
      <w:r w:rsidR="0024209B">
        <w:rPr>
          <w:rFonts w:ascii="Bookman Old Style" w:hAnsi="Bookman Old Style"/>
          <w:b/>
          <w:sz w:val="24"/>
          <w:szCs w:val="24"/>
        </w:rPr>
        <w:t>3</w:t>
      </w:r>
      <w:r w:rsidRPr="001E14E9">
        <w:rPr>
          <w:rFonts w:ascii="Bookman Old Style" w:hAnsi="Bookman Old Style"/>
          <w:b/>
          <w:sz w:val="24"/>
          <w:szCs w:val="24"/>
        </w:rPr>
        <w:t>º</w:t>
      </w:r>
      <w:r w:rsidRPr="001E14E9">
        <w:rPr>
          <w:rFonts w:ascii="Bookman Old Style" w:hAnsi="Bookman Old Style"/>
          <w:sz w:val="24"/>
          <w:szCs w:val="24"/>
        </w:rPr>
        <w:t>. Esta Resolução entra em vigor na data de sua publicação.</w:t>
      </w:r>
    </w:p>
    <w:p w:rsidR="00491174" w:rsidRPr="001E14E9" w:rsidRDefault="00491174" w:rsidP="00491174">
      <w:pPr>
        <w:pStyle w:val="SemEspaamento"/>
        <w:ind w:firstLine="2127"/>
        <w:jc w:val="both"/>
        <w:rPr>
          <w:rFonts w:ascii="Bookman Old Style" w:hAnsi="Bookman Old Style"/>
          <w:sz w:val="24"/>
          <w:szCs w:val="24"/>
        </w:rPr>
      </w:pPr>
    </w:p>
    <w:p w:rsidR="00491174" w:rsidRPr="00A42E70" w:rsidRDefault="00491174" w:rsidP="00491174">
      <w:pPr>
        <w:pStyle w:val="SemEspaamento"/>
        <w:ind w:firstLine="1985"/>
        <w:jc w:val="both"/>
        <w:rPr>
          <w:rFonts w:ascii="Bookman Old Style" w:hAnsi="Bookman Old Style" w:cs="Times New Roman"/>
          <w:sz w:val="24"/>
          <w:szCs w:val="24"/>
        </w:rPr>
      </w:pPr>
      <w:r w:rsidRPr="00A42E70">
        <w:rPr>
          <w:rFonts w:ascii="Bookman Old Style" w:hAnsi="Bookman Old Style" w:cs="Arial"/>
          <w:b/>
          <w:color w:val="000000"/>
          <w:sz w:val="24"/>
          <w:szCs w:val="24"/>
        </w:rPr>
        <w:t>SALA DAS SESSÕES</w:t>
      </w:r>
      <w:r w:rsidRPr="00A42E70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>16</w:t>
      </w:r>
      <w:r w:rsidRPr="00A42E70">
        <w:rPr>
          <w:rFonts w:ascii="Bookman Old Style" w:hAnsi="Bookman Old Style" w:cs="Times New Roman"/>
          <w:sz w:val="24"/>
          <w:szCs w:val="24"/>
        </w:rPr>
        <w:t xml:space="preserve"> de agosto de 2017.</w:t>
      </w: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491174" w:rsidRDefault="00491174" w:rsidP="00491174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491174" w:rsidRPr="00A42E70" w:rsidRDefault="00491174" w:rsidP="00491174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42E70">
        <w:rPr>
          <w:rFonts w:ascii="Bookman Old Style" w:hAnsi="Bookman Old Style"/>
          <w:b/>
          <w:sz w:val="24"/>
          <w:szCs w:val="24"/>
        </w:rPr>
        <w:t>Flávio Monte</w:t>
      </w:r>
    </w:p>
    <w:p w:rsidR="00D1479F" w:rsidRDefault="00491174" w:rsidP="00491174">
      <w:pPr>
        <w:pStyle w:val="SemEspaamento"/>
        <w:jc w:val="center"/>
      </w:pPr>
      <w:r w:rsidRPr="00A42E70">
        <w:rPr>
          <w:rFonts w:ascii="Bookman Old Style" w:hAnsi="Bookman Old Style"/>
          <w:b/>
          <w:sz w:val="24"/>
          <w:szCs w:val="24"/>
        </w:rPr>
        <w:t>Presidente – DEM</w:t>
      </w:r>
    </w:p>
    <w:sectPr w:rsidR="00D1479F" w:rsidSect="00491174">
      <w:headerReference w:type="even" r:id="rId6"/>
      <w:headerReference w:type="default" r:id="rId7"/>
      <w:headerReference w:type="first" r:id="rId8"/>
      <w:pgSz w:w="11906" w:h="16838"/>
      <w:pgMar w:top="311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72" w:rsidRDefault="00FB5372">
      <w:pPr>
        <w:spacing w:after="0" w:line="240" w:lineRule="auto"/>
      </w:pPr>
      <w:r>
        <w:separator/>
      </w:r>
    </w:p>
  </w:endnote>
  <w:endnote w:type="continuationSeparator" w:id="0">
    <w:p w:rsidR="00FB5372" w:rsidRDefault="00FB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72" w:rsidRDefault="00FB5372">
      <w:pPr>
        <w:spacing w:after="0" w:line="240" w:lineRule="auto"/>
      </w:pPr>
      <w:r>
        <w:separator/>
      </w:r>
    </w:p>
  </w:footnote>
  <w:footnote w:type="continuationSeparator" w:id="0">
    <w:p w:rsidR="00FB5372" w:rsidRDefault="00FB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372"/>
  <w:p w:rsidR="00ED7805" w:rsidRDefault="00FB537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74"/>
    <w:rsid w:val="001C5359"/>
    <w:rsid w:val="0024209B"/>
    <w:rsid w:val="00491174"/>
    <w:rsid w:val="005470CD"/>
    <w:rsid w:val="0057380F"/>
    <w:rsid w:val="00757651"/>
    <w:rsid w:val="008A528B"/>
    <w:rsid w:val="00964FBC"/>
    <w:rsid w:val="00993D97"/>
    <w:rsid w:val="009E1675"/>
    <w:rsid w:val="00AB5A57"/>
    <w:rsid w:val="00D1479F"/>
    <w:rsid w:val="00D54DAD"/>
    <w:rsid w:val="00E23892"/>
    <w:rsid w:val="00ED7805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266A"/>
  <w15:chartTrackingRefBased/>
  <w15:docId w15:val="{96FE7B20-F79A-4366-859F-FC3A68A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9117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10</cp:revision>
  <cp:lastPrinted>2017-08-16T20:55:00Z</cp:lastPrinted>
  <dcterms:created xsi:type="dcterms:W3CDTF">2017-08-16T20:25:00Z</dcterms:created>
  <dcterms:modified xsi:type="dcterms:W3CDTF">2017-08-23T14:26:00Z</dcterms:modified>
</cp:coreProperties>
</file>