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PALÁCIO 1º DE NOVEMBRO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SUBEMENDA À EMENDA MODIFICATIVA Nº01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ao Projeto de Lei Nº 83/2017 - Que Altera, acresce e revoga dispositivos da Lei Municipal n° 4.618, de 20 de dezembro de 2013, que "Trata do Imposto Sobre Serviços de Qualquer Natureza e dá outras providências".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CÂMARA MUNICIPAL DE ITATIBA APROVA A SEGUINTE SUBEMENDA:</w:t>
      </w:r>
    </w:p>
    <w:p w:rsidR="00000000" w:rsidDel="00000000" w:rsidP="00000000" w:rsidRDefault="00000000" w:rsidRPr="00000000">
      <w:p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b w:val="1"/>
          <w:sz w:val="24"/>
          <w:szCs w:val="24"/>
          <w:rtl w:val="0"/>
        </w:rPr>
        <w:t xml:space="preserve">Art. 1º</w:t>
      </w:r>
      <w:r w:rsidDel="00000000" w:rsidR="00000000" w:rsidRPr="00000000">
        <w:rPr>
          <w:sz w:val="24"/>
          <w:szCs w:val="24"/>
          <w:rtl w:val="0"/>
        </w:rPr>
        <w:t xml:space="preserve"> - As alíquotas previstas na Emenda Modificativa nº01, do Projeto de Lei Nº83/2017, sob códigos 3.04; 3.05; 6.06; 7.02; 9.01; 16.02; 17.25; 21.01; 25.05; 12.06; 14.03; 15.11, ficam fixadas em 2% (dois por cento).”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ind w:firstLine="709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Palácio 1º de novembro</w:t>
      </w:r>
      <w:r w:rsidDel="00000000" w:rsidR="00000000" w:rsidRPr="00000000">
        <w:rPr>
          <w:sz w:val="24"/>
          <w:szCs w:val="24"/>
          <w:rtl w:val="0"/>
        </w:rPr>
        <w:t xml:space="preserve">, 27 de setembro de 2017.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ind w:left="-426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26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26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26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26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426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          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