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21D1" w14:textId="67EB7734" w:rsidR="00165A3E" w:rsidRDefault="00000000" w:rsidP="009051C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65A3E">
        <w:rPr>
          <w:rFonts w:ascii="Times New Roman" w:eastAsia="Times New Roman" w:hAnsi="Times New Roman" w:cs="Times New Roman"/>
          <w:b/>
          <w:color w:val="auto"/>
          <w:u w:val="single"/>
        </w:rPr>
        <w:t>PALÁCIO 1º DE NOVEMBRO</w:t>
      </w:r>
    </w:p>
    <w:p w14:paraId="4F490019" w14:textId="3E95A2BD" w:rsidR="00D045BC" w:rsidRDefault="00D045BC" w:rsidP="009051C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0D90F678" w14:textId="22FDCD77" w:rsidR="00D045BC" w:rsidRPr="00D045BC" w:rsidRDefault="00D045BC" w:rsidP="009051C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PROJETO DE LEI Nº            /2022</w:t>
      </w:r>
    </w:p>
    <w:p w14:paraId="09861151" w14:textId="77777777" w:rsidR="00165A3E" w:rsidRPr="00165A3E" w:rsidRDefault="00000000" w:rsidP="00165A3E">
      <w:pPr>
        <w:pStyle w:val="Textbody"/>
        <w:spacing w:before="184" w:after="0"/>
        <w:ind w:left="4582" w:right="290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Institui</w:t>
      </w:r>
      <w:r w:rsidRPr="00165A3E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no</w:t>
      </w:r>
      <w:r w:rsidRPr="00165A3E">
        <w:rPr>
          <w:rFonts w:ascii="Times New Roman" w:hAnsi="Times New Roman" w:cs="Times New Roman"/>
          <w:b/>
          <w:bCs/>
          <w:color w:val="000000"/>
          <w:spacing w:val="-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município</w:t>
      </w:r>
      <w:r w:rsidRPr="00165A3E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de Itatiba</w:t>
      </w:r>
      <w:r w:rsidRPr="00165A3E">
        <w:rPr>
          <w:rFonts w:ascii="Times New Roman" w:hAnsi="Times New Roman" w:cs="Times New Roman"/>
          <w:b/>
          <w:bCs/>
          <w:color w:val="000000"/>
          <w:spacing w:val="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o</w:t>
      </w:r>
      <w:r w:rsidRPr="00165A3E">
        <w:rPr>
          <w:rFonts w:ascii="Times New Roman" w:hAnsi="Times New Roman" w:cs="Times New Roman"/>
          <w:b/>
          <w:bCs/>
          <w:color w:val="000000"/>
          <w:spacing w:val="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direito</w:t>
      </w:r>
      <w:r w:rsidRPr="00165A3E">
        <w:rPr>
          <w:rFonts w:ascii="Times New Roman" w:hAnsi="Times New Roman" w:cs="Times New Roman"/>
          <w:b/>
          <w:bCs/>
          <w:color w:val="000000"/>
          <w:spacing w:val="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do contribuinte</w:t>
      </w:r>
      <w:r w:rsidRPr="00165A3E">
        <w:rPr>
          <w:rFonts w:ascii="Times New Roman" w:hAnsi="Times New Roman" w:cs="Times New Roman"/>
          <w:b/>
          <w:bCs/>
          <w:color w:val="000000"/>
          <w:spacing w:val="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de</w:t>
      </w:r>
      <w:r w:rsidRPr="00165A3E">
        <w:rPr>
          <w:rFonts w:ascii="Times New Roman" w:hAnsi="Times New Roman" w:cs="Times New Roman"/>
          <w:b/>
          <w:bCs/>
          <w:color w:val="000000"/>
          <w:spacing w:val="-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ter</w:t>
      </w:r>
      <w:r w:rsidRPr="00165A3E">
        <w:rPr>
          <w:rFonts w:ascii="Times New Roman" w:hAnsi="Times New Roman" w:cs="Times New Roman"/>
          <w:b/>
          <w:bCs/>
          <w:color w:val="000000"/>
          <w:spacing w:val="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acesso a</w:t>
      </w:r>
      <w:r w:rsidRPr="00165A3E">
        <w:rPr>
          <w:rFonts w:ascii="Times New Roman" w:hAnsi="Times New Roman" w:cs="Times New Roman"/>
          <w:b/>
          <w:bCs/>
          <w:color w:val="000000"/>
          <w:spacing w:val="-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meios</w:t>
      </w:r>
      <w:r w:rsidRPr="00165A3E">
        <w:rPr>
          <w:rFonts w:ascii="Times New Roman" w:hAnsi="Times New Roman" w:cs="Times New Roman"/>
          <w:b/>
          <w:bCs/>
          <w:color w:val="000000"/>
          <w:spacing w:val="-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e</w:t>
      </w:r>
      <w:r w:rsidRPr="00165A3E">
        <w:rPr>
          <w:rFonts w:ascii="Times New Roman" w:hAnsi="Times New Roman" w:cs="Times New Roman"/>
          <w:b/>
          <w:bCs/>
          <w:color w:val="000000"/>
          <w:spacing w:val="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formas de pagamento digital, tais como Pix e</w:t>
      </w:r>
      <w:r w:rsidRPr="00165A3E">
        <w:rPr>
          <w:rFonts w:ascii="Times New Roman" w:hAnsi="Times New Roman" w:cs="Times New Roman"/>
          <w:b/>
          <w:bCs/>
          <w:color w:val="000000"/>
          <w:spacing w:val="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transferência bancária, para quitação de débitos</w:t>
      </w:r>
      <w:r w:rsidRPr="00165A3E">
        <w:rPr>
          <w:rFonts w:ascii="Times New Roman" w:hAnsi="Times New Roman" w:cs="Times New Roman"/>
          <w:b/>
          <w:bCs/>
          <w:color w:val="000000"/>
          <w:spacing w:val="-57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de</w:t>
      </w:r>
      <w:r w:rsidRPr="00165A3E">
        <w:rPr>
          <w:rFonts w:ascii="Times New Roman" w:hAnsi="Times New Roman" w:cs="Times New Roman"/>
          <w:b/>
          <w:bCs/>
          <w:color w:val="000000"/>
          <w:spacing w:val="-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natureza tributária,</w:t>
      </w:r>
      <w:r w:rsidRPr="00165A3E">
        <w:rPr>
          <w:rFonts w:ascii="Times New Roman" w:hAnsi="Times New Roman" w:cs="Times New Roman"/>
          <w:b/>
          <w:bCs/>
          <w:color w:val="000000"/>
          <w:spacing w:val="2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taxas e</w:t>
      </w:r>
      <w:r w:rsidRPr="00165A3E">
        <w:rPr>
          <w:rFonts w:ascii="Times New Roman" w:hAnsi="Times New Roman" w:cs="Times New Roman"/>
          <w:b/>
          <w:bCs/>
          <w:color w:val="000000"/>
          <w:spacing w:val="-1"/>
          <w:shd w:val="clear" w:color="auto" w:fill="FFFFFF"/>
        </w:rPr>
        <w:t xml:space="preserve"> </w:t>
      </w:r>
      <w:r w:rsidRPr="00165A3E">
        <w:rPr>
          <w:rFonts w:ascii="Times New Roman" w:hAnsi="Times New Roman" w:cs="Times New Roman"/>
          <w:b/>
          <w:bCs/>
          <w:color w:val="000000"/>
          <w:spacing w:val="6"/>
          <w:shd w:val="clear" w:color="auto" w:fill="FFFFFF"/>
        </w:rPr>
        <w:t>contribuições.</w:t>
      </w:r>
    </w:p>
    <w:p w14:paraId="7753015A" w14:textId="77777777" w:rsidR="00165A3E" w:rsidRPr="00165A3E" w:rsidRDefault="00165A3E" w:rsidP="00165A3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highlight w:val="white"/>
        </w:rPr>
      </w:pPr>
    </w:p>
    <w:p w14:paraId="4667CAFD" w14:textId="77777777" w:rsidR="00165A3E" w:rsidRPr="00165A3E" w:rsidRDefault="00000000" w:rsidP="009051CA">
      <w:pPr>
        <w:pStyle w:val="NormalWeb"/>
        <w:spacing w:before="0" w:after="0" w:line="360" w:lineRule="auto"/>
        <w:jc w:val="center"/>
      </w:pPr>
      <w:r w:rsidRPr="00165A3E">
        <w:rPr>
          <w:b/>
        </w:rPr>
        <w:t>A CÂMARA MUNICIPAL DE ITATIBA APROVA</w:t>
      </w:r>
      <w:r w:rsidRPr="00165A3E">
        <w:t>:</w:t>
      </w:r>
    </w:p>
    <w:p w14:paraId="16E317F7" w14:textId="77777777" w:rsidR="00165A3E" w:rsidRPr="00165A3E" w:rsidRDefault="00000000" w:rsidP="00165A3E">
      <w:pPr>
        <w:pStyle w:val="Standard"/>
        <w:tabs>
          <w:tab w:val="left" w:pos="850"/>
        </w:tabs>
        <w:spacing w:before="57" w:after="57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  <w:b/>
          <w:bCs/>
          <w:color w:val="000000"/>
        </w:rPr>
        <w:t>Art. 1º</w:t>
      </w:r>
      <w:r w:rsidRPr="00165A3E">
        <w:rPr>
          <w:rFonts w:ascii="Times New Roman" w:hAnsi="Times New Roman" w:cs="Times New Roman"/>
          <w:color w:val="000000"/>
        </w:rPr>
        <w:t xml:space="preserve"> É direito do contribuinte municipal ter acesso a todos </w:t>
      </w:r>
      <w:r w:rsidRPr="00165A3E">
        <w:rPr>
          <w:rFonts w:ascii="Times New Roman" w:hAnsi="Times New Roman" w:cs="Times New Roman"/>
          <w:color w:val="050505"/>
        </w:rPr>
        <w:t>os meios e formas de pagamento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digital, tais como a ferramenta de pagamento instantâneo Pix e transferência bancária para a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quitação de débitos de natureza tributária, taxas e contr</w:t>
      </w:r>
      <w:r w:rsidR="009051CA">
        <w:rPr>
          <w:rFonts w:ascii="Times New Roman" w:hAnsi="Times New Roman" w:cs="Times New Roman"/>
          <w:color w:val="050505"/>
        </w:rPr>
        <w:t>ibuições com o Município de Itatiba.</w:t>
      </w:r>
    </w:p>
    <w:p w14:paraId="211B2038" w14:textId="77777777" w:rsidR="00165A3E" w:rsidRPr="00165A3E" w:rsidRDefault="00000000" w:rsidP="00165A3E">
      <w:pPr>
        <w:pStyle w:val="Standard"/>
        <w:tabs>
          <w:tab w:val="left" w:pos="850"/>
        </w:tabs>
        <w:spacing w:before="57" w:after="57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  <w:b/>
          <w:bCs/>
          <w:color w:val="050505"/>
        </w:rPr>
        <w:t>Art. 2º</w:t>
      </w:r>
      <w:r w:rsidRPr="00165A3E">
        <w:rPr>
          <w:rFonts w:ascii="Times New Roman" w:hAnsi="Times New Roman" w:cs="Times New Roman"/>
          <w:color w:val="050505"/>
        </w:rPr>
        <w:t xml:space="preserve"> No caso de pagamento através de Pix, a Administração Pública disponibilizará ao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contribuinte QR Code, link específico ou chave aleatória específica para a identificação do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pagamento.</w:t>
      </w:r>
    </w:p>
    <w:p w14:paraId="28AFD4BE" w14:textId="77777777" w:rsidR="00165A3E" w:rsidRPr="00165A3E" w:rsidRDefault="00000000" w:rsidP="00165A3E">
      <w:pPr>
        <w:pStyle w:val="Standard"/>
        <w:tabs>
          <w:tab w:val="left" w:pos="850"/>
        </w:tabs>
        <w:spacing w:before="57" w:after="57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  <w:b/>
          <w:bCs/>
          <w:color w:val="050505"/>
        </w:rPr>
        <w:t>Art. 3º</w:t>
      </w:r>
      <w:r w:rsidRPr="00165A3E">
        <w:rPr>
          <w:rFonts w:ascii="Times New Roman" w:hAnsi="Times New Roman" w:cs="Times New Roman"/>
          <w:color w:val="050505"/>
        </w:rPr>
        <w:t xml:space="preserve"> Os encargos e eventuais diferenças de valor cobrados por conta da utilização deste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método de pagamento ficarão exclusivamente a cargo do seu titular, salvo determinação diversa</w:t>
      </w:r>
      <w:r w:rsidRPr="00165A3E">
        <w:rPr>
          <w:rFonts w:ascii="Times New Roman" w:hAnsi="Times New Roman" w:cs="Times New Roman"/>
          <w:color w:val="050505"/>
          <w:spacing w:val="-57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do</w:t>
      </w:r>
      <w:r w:rsidRPr="00165A3E">
        <w:rPr>
          <w:rFonts w:ascii="Times New Roman" w:hAnsi="Times New Roman" w:cs="Times New Roman"/>
          <w:color w:val="050505"/>
          <w:spacing w:val="-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Poder Público municipal.</w:t>
      </w:r>
    </w:p>
    <w:p w14:paraId="7C81530A" w14:textId="77777777" w:rsidR="00165A3E" w:rsidRPr="00165A3E" w:rsidRDefault="00000000" w:rsidP="009051CA">
      <w:pPr>
        <w:pStyle w:val="Standard"/>
        <w:tabs>
          <w:tab w:val="left" w:pos="0"/>
        </w:tabs>
        <w:spacing w:before="57" w:after="57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  <w:b/>
          <w:bCs/>
          <w:color w:val="050505"/>
        </w:rPr>
        <w:t xml:space="preserve">Art. 4º </w:t>
      </w:r>
      <w:r w:rsidRPr="00165A3E">
        <w:rPr>
          <w:rFonts w:ascii="Times New Roman" w:hAnsi="Times New Roman" w:cs="Times New Roman"/>
          <w:color w:val="050505"/>
        </w:rPr>
        <w:t>O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disposto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nesta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Lei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aplica-se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inclusive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aos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créditos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tributários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anteriores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à</w:t>
      </w:r>
      <w:r w:rsidRPr="00165A3E">
        <w:rPr>
          <w:rFonts w:ascii="Times New Roman" w:hAnsi="Times New Roman" w:cs="Times New Roman"/>
          <w:color w:val="050505"/>
          <w:spacing w:val="60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sua</w:t>
      </w:r>
      <w:r w:rsidRPr="00165A3E">
        <w:rPr>
          <w:rFonts w:ascii="Times New Roman" w:hAnsi="Times New Roman" w:cs="Times New Roman"/>
          <w:color w:val="050505"/>
          <w:spacing w:val="1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 xml:space="preserve">vigência, sendo facultado ao contribuinte efetuar o pagamento desses créditos através dos meios </w:t>
      </w:r>
      <w:r w:rsidRPr="00165A3E">
        <w:rPr>
          <w:rFonts w:ascii="Times New Roman" w:hAnsi="Times New Roman" w:cs="Times New Roman"/>
          <w:color w:val="050505"/>
          <w:spacing w:val="-57"/>
        </w:rPr>
        <w:t xml:space="preserve"> </w:t>
      </w:r>
      <w:r w:rsidRPr="00165A3E">
        <w:rPr>
          <w:rFonts w:ascii="Times New Roman" w:hAnsi="Times New Roman" w:cs="Times New Roman"/>
          <w:color w:val="050505"/>
        </w:rPr>
        <w:t>digitais.</w:t>
      </w:r>
    </w:p>
    <w:p w14:paraId="085B948E" w14:textId="77777777" w:rsidR="00165A3E" w:rsidRPr="00165A3E" w:rsidRDefault="00000000" w:rsidP="00165A3E">
      <w:pPr>
        <w:pStyle w:val="Standard"/>
        <w:tabs>
          <w:tab w:val="left" w:pos="850"/>
        </w:tabs>
        <w:spacing w:before="57" w:after="57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  <w:b/>
          <w:bCs/>
          <w:color w:val="050505"/>
        </w:rPr>
        <w:t xml:space="preserve">Art. 5º </w:t>
      </w:r>
      <w:r w:rsidRPr="00165A3E">
        <w:rPr>
          <w:rFonts w:ascii="Times New Roman" w:hAnsi="Times New Roman" w:cs="Times New Roman"/>
          <w:color w:val="050505"/>
        </w:rPr>
        <w:t>Esta Lei poderá ser regulamentada no que couber, por decreto expedido pelo Poder Executivo.</w:t>
      </w:r>
    </w:p>
    <w:p w14:paraId="3C5ED10C" w14:textId="77777777" w:rsidR="00165A3E" w:rsidRPr="00165A3E" w:rsidRDefault="00000000" w:rsidP="00165A3E">
      <w:pPr>
        <w:pStyle w:val="Standard"/>
        <w:tabs>
          <w:tab w:val="left" w:pos="850"/>
        </w:tabs>
        <w:spacing w:before="57" w:after="57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  <w:b/>
          <w:bCs/>
          <w:color w:val="050505"/>
        </w:rPr>
        <w:t>Parágrafo único.</w:t>
      </w:r>
      <w:r w:rsidRPr="00165A3E">
        <w:rPr>
          <w:rFonts w:ascii="Times New Roman" w:hAnsi="Times New Roman" w:cs="Times New Roman"/>
          <w:color w:val="050505"/>
        </w:rPr>
        <w:t xml:space="preserve"> A ausência de regulamentação desta Lei por decreto não impede seu funcionamento e sua aplicação aos órgãos e entidades da Administração Pública direta e indireta.</w:t>
      </w:r>
    </w:p>
    <w:p w14:paraId="1C867B73" w14:textId="77777777" w:rsidR="00165A3E" w:rsidRPr="00165A3E" w:rsidRDefault="00000000" w:rsidP="00165A3E">
      <w:pPr>
        <w:pStyle w:val="Standard"/>
        <w:tabs>
          <w:tab w:val="left" w:pos="850"/>
        </w:tabs>
        <w:spacing w:before="57" w:after="57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  <w:b/>
          <w:bCs/>
          <w:color w:val="050505"/>
        </w:rPr>
        <w:t>Art. 6º</w:t>
      </w:r>
      <w:r w:rsidRPr="00165A3E">
        <w:rPr>
          <w:rFonts w:ascii="Times New Roman" w:hAnsi="Times New Roman" w:cs="Times New Roman"/>
          <w:color w:val="050505"/>
        </w:rPr>
        <w:t xml:space="preserve"> O Poder Executivo disporá dos meios adequados e necessários para garantir a publicidade do definido nesta Lei.</w:t>
      </w:r>
    </w:p>
    <w:p w14:paraId="6E3AA631" w14:textId="77777777" w:rsidR="00165A3E" w:rsidRPr="00165A3E" w:rsidRDefault="00000000" w:rsidP="00165A3E">
      <w:pPr>
        <w:pStyle w:val="Standard"/>
        <w:tabs>
          <w:tab w:val="left" w:pos="850"/>
        </w:tabs>
        <w:spacing w:before="57" w:after="57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  <w:b/>
          <w:bCs/>
          <w:color w:val="050505"/>
        </w:rPr>
        <w:t xml:space="preserve">Art. 7º </w:t>
      </w:r>
      <w:r w:rsidRPr="00165A3E">
        <w:rPr>
          <w:rFonts w:ascii="Times New Roman" w:hAnsi="Times New Roman" w:cs="Times New Roman"/>
          <w:color w:val="050505"/>
        </w:rPr>
        <w:t>As despesas com a execução desta Lei correrão por conta de dotações orçamentárias próprias, suplementadas se necessário.</w:t>
      </w:r>
    </w:p>
    <w:p w14:paraId="5B06A793" w14:textId="77777777" w:rsidR="00165A3E" w:rsidRPr="00165A3E" w:rsidRDefault="00000000" w:rsidP="00165A3E">
      <w:pPr>
        <w:pStyle w:val="Standard"/>
        <w:tabs>
          <w:tab w:val="left" w:pos="850"/>
        </w:tabs>
        <w:spacing w:before="57" w:after="57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  <w:b/>
          <w:bCs/>
          <w:color w:val="050505"/>
        </w:rPr>
        <w:t xml:space="preserve">Art. 8º </w:t>
      </w:r>
      <w:r w:rsidRPr="00165A3E">
        <w:rPr>
          <w:rFonts w:ascii="Times New Roman" w:hAnsi="Times New Roman" w:cs="Times New Roman"/>
          <w:color w:val="050505"/>
        </w:rPr>
        <w:t>Esta Lei entra em vigor 45 (quarenta e cinco) dias após a data da sua publicação.</w:t>
      </w:r>
    </w:p>
    <w:p w14:paraId="2957A352" w14:textId="77777777" w:rsidR="00165A3E" w:rsidRPr="00165A3E" w:rsidRDefault="00165A3E" w:rsidP="00165A3E">
      <w:pPr>
        <w:pStyle w:val="NormalWeb"/>
        <w:spacing w:before="0" w:after="0" w:line="360" w:lineRule="auto"/>
        <w:jc w:val="both"/>
      </w:pPr>
    </w:p>
    <w:p w14:paraId="2221505D" w14:textId="77777777" w:rsidR="00165A3E" w:rsidRDefault="00000000" w:rsidP="009051CA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65A3E">
        <w:rPr>
          <w:rFonts w:ascii="Times New Roman" w:hAnsi="Times New Roman" w:cs="Times New Roman"/>
          <w:b/>
          <w:color w:val="auto"/>
        </w:rPr>
        <w:t>SALA DAS SESSÕES</w:t>
      </w:r>
      <w:r w:rsidR="009051CA">
        <w:rPr>
          <w:rFonts w:ascii="Times New Roman" w:hAnsi="Times New Roman" w:cs="Times New Roman"/>
          <w:color w:val="auto"/>
        </w:rPr>
        <w:t>, 26 de setembro 2022</w:t>
      </w:r>
    </w:p>
    <w:p w14:paraId="7314D5E0" w14:textId="77777777" w:rsidR="009051CA" w:rsidRDefault="009051CA" w:rsidP="009051CA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015DE744" w14:textId="77777777" w:rsidR="009051CA" w:rsidRPr="009051CA" w:rsidRDefault="009051CA" w:rsidP="009051CA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0A7DDCF8" w14:textId="77777777" w:rsidR="00165A3E" w:rsidRPr="00165A3E" w:rsidRDefault="00000000" w:rsidP="009051CA">
      <w:pPr>
        <w:tabs>
          <w:tab w:val="center" w:pos="467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65A3E">
        <w:rPr>
          <w:rFonts w:ascii="Times New Roman" w:eastAsia="Times New Roman" w:hAnsi="Times New Roman" w:cs="Times New Roman"/>
          <w:color w:val="auto"/>
        </w:rPr>
        <w:t>_________________________</w:t>
      </w:r>
    </w:p>
    <w:p w14:paraId="1992D197" w14:textId="77777777" w:rsidR="00165A3E" w:rsidRPr="00165A3E" w:rsidRDefault="00000000" w:rsidP="009051CA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65A3E">
        <w:rPr>
          <w:rFonts w:ascii="Times New Roman" w:eastAsia="Times New Roman" w:hAnsi="Times New Roman" w:cs="Times New Roman"/>
          <w:b/>
          <w:color w:val="auto"/>
        </w:rPr>
        <w:t>FERNANDO SOARES</w:t>
      </w:r>
    </w:p>
    <w:p w14:paraId="307F5560" w14:textId="77777777" w:rsidR="009051CA" w:rsidRDefault="00000000" w:rsidP="009051CA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65A3E">
        <w:rPr>
          <w:rFonts w:ascii="Times New Roman" w:eastAsia="Times New Roman" w:hAnsi="Times New Roman" w:cs="Times New Roman"/>
          <w:color w:val="auto"/>
        </w:rPr>
        <w:t>Vereador – PSDB</w:t>
      </w:r>
    </w:p>
    <w:p w14:paraId="4E38BE72" w14:textId="237148ED" w:rsidR="00D045BC" w:rsidRPr="00D045BC" w:rsidRDefault="00D045BC" w:rsidP="009051C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045BC">
        <w:rPr>
          <w:rFonts w:ascii="Times New Roman" w:hAnsi="Times New Roman" w:cs="Times New Roman"/>
          <w:b/>
          <w:bCs/>
        </w:rPr>
        <w:lastRenderedPageBreak/>
        <w:t>PROJETO DE LEI           /2022</w:t>
      </w:r>
    </w:p>
    <w:p w14:paraId="780CC73B" w14:textId="77777777" w:rsidR="00D045BC" w:rsidRDefault="00D045BC" w:rsidP="009051CA">
      <w:pPr>
        <w:spacing w:line="360" w:lineRule="auto"/>
        <w:jc w:val="center"/>
        <w:rPr>
          <w:rFonts w:ascii="Times New Roman" w:hAnsi="Times New Roman" w:cs="Times New Roman"/>
        </w:rPr>
      </w:pPr>
    </w:p>
    <w:p w14:paraId="1FFB18F5" w14:textId="71EEFA7F" w:rsidR="00165A3E" w:rsidRPr="009051CA" w:rsidRDefault="00000000" w:rsidP="009051CA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65A3E">
        <w:rPr>
          <w:rFonts w:ascii="Times New Roman" w:hAnsi="Times New Roman" w:cs="Times New Roman"/>
        </w:rPr>
        <w:t>JUSTIFICATIVA</w:t>
      </w:r>
    </w:p>
    <w:p w14:paraId="7EF93F5C" w14:textId="77777777" w:rsidR="00165A3E" w:rsidRPr="00165A3E" w:rsidRDefault="00165A3E" w:rsidP="00165A3E">
      <w:pPr>
        <w:pStyle w:val="Textbody"/>
        <w:spacing w:before="184" w:after="0"/>
        <w:jc w:val="both"/>
        <w:rPr>
          <w:rFonts w:ascii="Times New Roman" w:hAnsi="Times New Roman" w:cs="Times New Roman"/>
        </w:rPr>
      </w:pPr>
    </w:p>
    <w:p w14:paraId="3B00B880" w14:textId="77777777" w:rsidR="009051CA" w:rsidRDefault="00000000" w:rsidP="009051CA">
      <w:pPr>
        <w:pStyle w:val="Textbody"/>
        <w:spacing w:before="184" w:after="0"/>
        <w:ind w:firstLine="1134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</w:rPr>
        <w:t>Lançado oficialmente em novembro de 2020, o Pix surgiu como uma nova forma de realizar pagamentos e operações bancárias</w:t>
      </w:r>
      <w:r>
        <w:rPr>
          <w:rFonts w:ascii="Times New Roman" w:hAnsi="Times New Roman" w:cs="Times New Roman"/>
        </w:rPr>
        <w:t>.</w:t>
      </w:r>
      <w:r w:rsidRPr="00165A3E">
        <w:rPr>
          <w:rFonts w:ascii="Times New Roman" w:hAnsi="Times New Roman" w:cs="Times New Roman"/>
        </w:rPr>
        <w:t xml:space="preserve"> O meio de pagamento criado pelo Banco Central (BACEN) permite a transferência de recursos entre contas em segundos e a qualquer hora ou dia. É uma forma prática, rápida e de baixo custo - gratuita para pessoa física - para a realização de pagamentos. </w:t>
      </w:r>
    </w:p>
    <w:p w14:paraId="25B2E357" w14:textId="77777777" w:rsidR="009051CA" w:rsidRDefault="00000000" w:rsidP="009051CA">
      <w:pPr>
        <w:pStyle w:val="Textbody"/>
        <w:spacing w:before="184" w:after="0"/>
        <w:ind w:firstLine="1134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</w:rPr>
        <w:t xml:space="preserve">O pagamento de tributos via Pix já está sendo adotado pela Receita Federal e em diversos entes da Federação, tais como os estados de São Paulo, Piauí e Acre e os municípios de Eusébio (CE), Linhares (ES), São José dos Campos (SP), Uberlândia (MG) e Vila Velha (ES). Trata-se de uma alternativa para facilitar o pagamento dos tributos, dando ao cidadão uma forma mais prática de realizar tais transações. </w:t>
      </w:r>
    </w:p>
    <w:p w14:paraId="5AC8361A" w14:textId="77777777" w:rsidR="00165A3E" w:rsidRPr="00165A3E" w:rsidRDefault="00000000" w:rsidP="009051CA">
      <w:pPr>
        <w:pStyle w:val="Textbody"/>
        <w:spacing w:before="184" w:after="0"/>
        <w:ind w:firstLine="1134"/>
        <w:jc w:val="both"/>
        <w:rPr>
          <w:rFonts w:ascii="Times New Roman" w:hAnsi="Times New Roman" w:cs="Times New Roman"/>
        </w:rPr>
      </w:pPr>
      <w:r w:rsidRPr="00165A3E">
        <w:rPr>
          <w:rFonts w:ascii="Times New Roman" w:hAnsi="Times New Roman" w:cs="Times New Roman"/>
        </w:rPr>
        <w:t>Assim, a proposta pretende modernizar e simplificar o ambiente tributário do município.</w:t>
      </w:r>
    </w:p>
    <w:p w14:paraId="4DD077CF" w14:textId="77777777" w:rsidR="005A78B4" w:rsidRDefault="005A78B4" w:rsidP="00165A3E">
      <w:pPr>
        <w:jc w:val="both"/>
        <w:rPr>
          <w:rFonts w:ascii="Times New Roman" w:hAnsi="Times New Roman" w:cs="Times New Roman"/>
        </w:rPr>
      </w:pPr>
    </w:p>
    <w:p w14:paraId="51911D69" w14:textId="77777777" w:rsidR="009051CA" w:rsidRDefault="009051CA" w:rsidP="00165A3E">
      <w:pPr>
        <w:jc w:val="both"/>
        <w:rPr>
          <w:rFonts w:ascii="Times New Roman" w:hAnsi="Times New Roman" w:cs="Times New Roman"/>
        </w:rPr>
      </w:pPr>
    </w:p>
    <w:p w14:paraId="47221D7C" w14:textId="77777777" w:rsidR="009051CA" w:rsidRDefault="009051CA" w:rsidP="00165A3E">
      <w:pPr>
        <w:jc w:val="both"/>
        <w:rPr>
          <w:rFonts w:ascii="Times New Roman" w:hAnsi="Times New Roman" w:cs="Times New Roman"/>
        </w:rPr>
      </w:pPr>
    </w:p>
    <w:p w14:paraId="02D1FDCF" w14:textId="77777777" w:rsidR="009051CA" w:rsidRPr="00165A3E" w:rsidRDefault="00000000" w:rsidP="009051CA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65A3E">
        <w:rPr>
          <w:rFonts w:ascii="Times New Roman" w:hAnsi="Times New Roman" w:cs="Times New Roman"/>
          <w:b/>
          <w:color w:val="auto"/>
        </w:rPr>
        <w:t>SALA DAS SESSÕES</w:t>
      </w:r>
      <w:r>
        <w:rPr>
          <w:rFonts w:ascii="Times New Roman" w:hAnsi="Times New Roman" w:cs="Times New Roman"/>
          <w:color w:val="auto"/>
        </w:rPr>
        <w:t>, 26 de setembro 2022</w:t>
      </w:r>
    </w:p>
    <w:p w14:paraId="4D02A6EB" w14:textId="77777777" w:rsidR="009051CA" w:rsidRPr="00165A3E" w:rsidRDefault="009051CA" w:rsidP="009051CA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auto"/>
        </w:rPr>
      </w:pPr>
    </w:p>
    <w:p w14:paraId="79CA7277" w14:textId="77777777" w:rsidR="009051CA" w:rsidRPr="00165A3E" w:rsidRDefault="009051CA" w:rsidP="009051CA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auto"/>
        </w:rPr>
      </w:pPr>
    </w:p>
    <w:p w14:paraId="6696420E" w14:textId="77777777" w:rsidR="009051CA" w:rsidRDefault="009051CA" w:rsidP="009051CA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auto"/>
        </w:rPr>
      </w:pPr>
    </w:p>
    <w:p w14:paraId="2D70F29F" w14:textId="77777777" w:rsidR="009051CA" w:rsidRDefault="009051CA" w:rsidP="009051CA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auto"/>
        </w:rPr>
      </w:pPr>
    </w:p>
    <w:p w14:paraId="611887F0" w14:textId="77777777" w:rsidR="009051CA" w:rsidRDefault="009051CA" w:rsidP="009051CA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auto"/>
        </w:rPr>
      </w:pPr>
    </w:p>
    <w:p w14:paraId="0523FBA6" w14:textId="77777777" w:rsidR="009051CA" w:rsidRPr="00165A3E" w:rsidRDefault="009051CA" w:rsidP="009051CA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auto"/>
        </w:rPr>
      </w:pPr>
    </w:p>
    <w:p w14:paraId="5079D3A3" w14:textId="77777777" w:rsidR="009051CA" w:rsidRPr="00165A3E" w:rsidRDefault="00000000" w:rsidP="009051CA">
      <w:pPr>
        <w:tabs>
          <w:tab w:val="center" w:pos="467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65A3E">
        <w:rPr>
          <w:rFonts w:ascii="Times New Roman" w:eastAsia="Times New Roman" w:hAnsi="Times New Roman" w:cs="Times New Roman"/>
          <w:color w:val="auto"/>
        </w:rPr>
        <w:t>_________________________</w:t>
      </w:r>
    </w:p>
    <w:p w14:paraId="6CB9073A" w14:textId="77777777" w:rsidR="009051CA" w:rsidRPr="00165A3E" w:rsidRDefault="00000000" w:rsidP="009051CA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65A3E">
        <w:rPr>
          <w:rFonts w:ascii="Times New Roman" w:eastAsia="Times New Roman" w:hAnsi="Times New Roman" w:cs="Times New Roman"/>
          <w:b/>
          <w:color w:val="auto"/>
        </w:rPr>
        <w:t>FERNANDO SOARES</w:t>
      </w:r>
    </w:p>
    <w:p w14:paraId="1157354F" w14:textId="77777777" w:rsidR="009051CA" w:rsidRDefault="00000000" w:rsidP="009051CA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65A3E">
        <w:rPr>
          <w:rFonts w:ascii="Times New Roman" w:eastAsia="Times New Roman" w:hAnsi="Times New Roman" w:cs="Times New Roman"/>
          <w:color w:val="auto"/>
        </w:rPr>
        <w:t>Vereador – PSDB</w:t>
      </w:r>
    </w:p>
    <w:p w14:paraId="59A4C747" w14:textId="77777777" w:rsidR="009051CA" w:rsidRPr="00165A3E" w:rsidRDefault="009051CA" w:rsidP="00165A3E">
      <w:pPr>
        <w:jc w:val="both"/>
        <w:rPr>
          <w:rFonts w:ascii="Times New Roman" w:hAnsi="Times New Roman" w:cs="Times New Roman"/>
        </w:rPr>
      </w:pPr>
    </w:p>
    <w:sectPr w:rsidR="009051CA" w:rsidRPr="00165A3E" w:rsidSect="00D045BC">
      <w:headerReference w:type="default" r:id="rId6"/>
      <w:pgSz w:w="11906" w:h="16838"/>
      <w:pgMar w:top="241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4AA6" w14:textId="77777777" w:rsidR="00971848" w:rsidRDefault="00971848">
      <w:r>
        <w:separator/>
      </w:r>
    </w:p>
  </w:endnote>
  <w:endnote w:type="continuationSeparator" w:id="0">
    <w:p w14:paraId="3490C172" w14:textId="77777777" w:rsidR="00971848" w:rsidRDefault="0097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3432" w14:textId="77777777" w:rsidR="00971848" w:rsidRDefault="00971848">
      <w:r>
        <w:separator/>
      </w:r>
    </w:p>
  </w:footnote>
  <w:footnote w:type="continuationSeparator" w:id="0">
    <w:p w14:paraId="6BAA85C9" w14:textId="77777777" w:rsidR="00971848" w:rsidRDefault="0097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5956" w14:textId="77777777" w:rsidR="006D5BE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E468FBF" wp14:editId="0405662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3E"/>
    <w:rsid w:val="000C25F4"/>
    <w:rsid w:val="00165A3E"/>
    <w:rsid w:val="005A78B4"/>
    <w:rsid w:val="006D5BE9"/>
    <w:rsid w:val="009051CA"/>
    <w:rsid w:val="00971848"/>
    <w:rsid w:val="00D0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BD744"/>
  <w15:chartTrackingRefBased/>
  <w15:docId w15:val="{C244F152-03B9-452C-BE01-1AD8D645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5A3E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65A3E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pt-BR" w:bidi="pt-BR"/>
    </w:rPr>
  </w:style>
  <w:style w:type="paragraph" w:customStyle="1" w:styleId="Textbody">
    <w:name w:val="Text body"/>
    <w:basedOn w:val="Standard"/>
    <w:rsid w:val="00165A3E"/>
    <w:pPr>
      <w:spacing w:after="120"/>
    </w:pPr>
  </w:style>
  <w:style w:type="paragraph" w:styleId="NormalWeb">
    <w:name w:val="Normal (Web)"/>
    <w:basedOn w:val="Normal"/>
    <w:rsid w:val="00165A3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045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5BC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5BC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2</cp:revision>
  <dcterms:created xsi:type="dcterms:W3CDTF">2022-09-23T17:27:00Z</dcterms:created>
  <dcterms:modified xsi:type="dcterms:W3CDTF">2022-09-26T11:16:00Z</dcterms:modified>
</cp:coreProperties>
</file>