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1D7C" w14:textId="77777777" w:rsidR="0064298F" w:rsidRPr="00556AE3" w:rsidRDefault="0064298F" w:rsidP="005B366C">
      <w:pPr>
        <w:spacing w:after="120" w:line="240" w:lineRule="auto"/>
        <w:ind w:left="1134" w:right="567"/>
        <w:contextualSpacing/>
        <w:jc w:val="center"/>
        <w:rPr>
          <w:rFonts w:cstheme="minorHAnsi"/>
          <w:b/>
          <w:sz w:val="24"/>
          <w:szCs w:val="24"/>
        </w:rPr>
      </w:pPr>
      <w:r w:rsidRPr="00556AE3">
        <w:rPr>
          <w:rFonts w:cstheme="minorHAnsi"/>
          <w:b/>
          <w:sz w:val="24"/>
          <w:szCs w:val="24"/>
        </w:rPr>
        <w:t>PALÁCIO 1º DE NOVEMBRO</w:t>
      </w:r>
    </w:p>
    <w:p w14:paraId="2DFB07A0" w14:textId="77777777" w:rsidR="0064298F" w:rsidRPr="00556AE3" w:rsidRDefault="0064298F" w:rsidP="007009BE">
      <w:pPr>
        <w:spacing w:after="120" w:line="240" w:lineRule="auto"/>
        <w:ind w:left="1134" w:right="567"/>
        <w:contextualSpacing/>
        <w:jc w:val="both"/>
        <w:rPr>
          <w:rFonts w:cstheme="minorHAnsi"/>
          <w:sz w:val="24"/>
          <w:szCs w:val="24"/>
        </w:rPr>
      </w:pPr>
    </w:p>
    <w:p w14:paraId="12604CFC" w14:textId="49E37EF5" w:rsidR="0064298F" w:rsidRPr="00556AE3" w:rsidRDefault="0064298F" w:rsidP="007009BE">
      <w:pPr>
        <w:spacing w:after="120" w:line="240" w:lineRule="auto"/>
        <w:ind w:left="1134" w:right="567"/>
        <w:contextualSpacing/>
        <w:jc w:val="both"/>
        <w:rPr>
          <w:rFonts w:cstheme="minorHAnsi"/>
          <w:b/>
          <w:sz w:val="24"/>
          <w:szCs w:val="24"/>
        </w:rPr>
      </w:pPr>
      <w:r w:rsidRPr="00556AE3">
        <w:rPr>
          <w:rFonts w:cstheme="minorHAnsi"/>
          <w:b/>
          <w:sz w:val="24"/>
          <w:szCs w:val="24"/>
        </w:rPr>
        <w:t xml:space="preserve">Mensagem ao Projeto de </w:t>
      </w:r>
      <w:r w:rsidR="00DB011F" w:rsidRPr="00556AE3">
        <w:rPr>
          <w:rFonts w:cstheme="minorHAnsi"/>
          <w:b/>
          <w:sz w:val="24"/>
          <w:szCs w:val="24"/>
        </w:rPr>
        <w:t>Lei</w:t>
      </w:r>
      <w:r w:rsidRPr="00556AE3">
        <w:rPr>
          <w:rFonts w:cstheme="minorHAnsi"/>
          <w:b/>
          <w:sz w:val="24"/>
          <w:szCs w:val="24"/>
        </w:rPr>
        <w:t xml:space="preserve"> nº </w:t>
      </w:r>
      <w:r w:rsidR="00F15925">
        <w:rPr>
          <w:rFonts w:cstheme="minorHAnsi"/>
          <w:b/>
          <w:sz w:val="24"/>
          <w:szCs w:val="24"/>
        </w:rPr>
        <w:t>04</w:t>
      </w:r>
      <w:r w:rsidRPr="00556AE3">
        <w:rPr>
          <w:rFonts w:cstheme="minorHAnsi"/>
          <w:b/>
          <w:sz w:val="24"/>
          <w:szCs w:val="24"/>
        </w:rPr>
        <w:t>/202</w:t>
      </w:r>
      <w:r w:rsidR="00DB011F" w:rsidRPr="00556AE3">
        <w:rPr>
          <w:rFonts w:cstheme="minorHAnsi"/>
          <w:b/>
          <w:sz w:val="24"/>
          <w:szCs w:val="24"/>
        </w:rPr>
        <w:t>4</w:t>
      </w:r>
      <w:r w:rsidRPr="00556AE3">
        <w:rPr>
          <w:rFonts w:cstheme="minorHAnsi"/>
          <w:b/>
          <w:sz w:val="24"/>
          <w:szCs w:val="24"/>
        </w:rPr>
        <w:t>, que “</w:t>
      </w:r>
      <w:r w:rsidR="00E466AF">
        <w:rPr>
          <w:rFonts w:cstheme="minorHAnsi"/>
          <w:b/>
          <w:sz w:val="24"/>
          <w:szCs w:val="24"/>
        </w:rPr>
        <w:t>P</w:t>
      </w:r>
      <w:r w:rsidR="002B1D3B">
        <w:rPr>
          <w:rFonts w:cstheme="minorHAnsi"/>
          <w:b/>
          <w:sz w:val="24"/>
          <w:szCs w:val="24"/>
        </w:rPr>
        <w:t>roíbe o exercício do Poder de Polícia por Pessoas Jurídicas de Direito Privado</w:t>
      </w:r>
      <w:r w:rsidR="00297CF1">
        <w:rPr>
          <w:rFonts w:cstheme="minorHAnsi"/>
          <w:b/>
          <w:sz w:val="24"/>
          <w:szCs w:val="24"/>
        </w:rPr>
        <w:t xml:space="preserve"> que não integram a Administração Pública Indireta</w:t>
      </w:r>
      <w:r w:rsidR="002B1D3B">
        <w:rPr>
          <w:rFonts w:cstheme="minorHAnsi"/>
          <w:b/>
          <w:sz w:val="24"/>
          <w:szCs w:val="24"/>
        </w:rPr>
        <w:t xml:space="preserve"> no município de Itatiba</w:t>
      </w:r>
      <w:r w:rsidRPr="00556AE3">
        <w:rPr>
          <w:rFonts w:cstheme="minorHAnsi"/>
          <w:b/>
          <w:sz w:val="24"/>
          <w:szCs w:val="24"/>
        </w:rPr>
        <w:t>”</w:t>
      </w:r>
    </w:p>
    <w:p w14:paraId="56FCC484" w14:textId="77777777" w:rsidR="00A3120D" w:rsidRPr="00556AE3" w:rsidRDefault="00A3120D" w:rsidP="007009BE">
      <w:pPr>
        <w:spacing w:after="120" w:line="240" w:lineRule="auto"/>
        <w:ind w:left="1134" w:right="567"/>
        <w:contextualSpacing/>
        <w:jc w:val="both"/>
        <w:rPr>
          <w:rFonts w:cstheme="minorHAnsi"/>
          <w:sz w:val="24"/>
          <w:szCs w:val="24"/>
        </w:rPr>
      </w:pPr>
    </w:p>
    <w:p w14:paraId="13761A72" w14:textId="7A4C2A39" w:rsidR="0064298F" w:rsidRPr="00556AE3" w:rsidRDefault="0064298F" w:rsidP="007009BE">
      <w:pPr>
        <w:spacing w:after="120" w:line="240" w:lineRule="auto"/>
        <w:ind w:left="1134" w:right="567"/>
        <w:contextualSpacing/>
        <w:jc w:val="both"/>
        <w:rPr>
          <w:rFonts w:cstheme="minorHAnsi"/>
          <w:sz w:val="24"/>
          <w:szCs w:val="24"/>
        </w:rPr>
      </w:pPr>
      <w:r w:rsidRPr="00556AE3">
        <w:rPr>
          <w:rFonts w:cstheme="minorHAnsi"/>
          <w:sz w:val="24"/>
          <w:szCs w:val="24"/>
        </w:rPr>
        <w:t>Srs. Vereadores,</w:t>
      </w:r>
    </w:p>
    <w:p w14:paraId="34E1320D" w14:textId="77777777" w:rsidR="0064298F" w:rsidRPr="00556AE3" w:rsidRDefault="0064298F" w:rsidP="007009BE">
      <w:pPr>
        <w:spacing w:after="120" w:line="240" w:lineRule="auto"/>
        <w:ind w:left="1134" w:right="567"/>
        <w:contextualSpacing/>
        <w:jc w:val="both"/>
        <w:rPr>
          <w:rFonts w:cstheme="minorHAnsi"/>
          <w:sz w:val="24"/>
          <w:szCs w:val="24"/>
        </w:rPr>
      </w:pPr>
    </w:p>
    <w:p w14:paraId="6D44C4D2" w14:textId="325BB794" w:rsidR="00A7426D" w:rsidRDefault="00A7426D" w:rsidP="006D1DFB">
      <w:pPr>
        <w:spacing w:after="120" w:line="240" w:lineRule="auto"/>
        <w:ind w:left="1134" w:right="567" w:firstLine="1134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Considerando que no município de Itatiba</w:t>
      </w:r>
      <w:r w:rsidR="00B20E7B">
        <w:rPr>
          <w:rFonts w:cstheme="minorHAnsi"/>
          <w:sz w:val="24"/>
          <w:szCs w:val="24"/>
        </w:rPr>
        <w:t xml:space="preserve"> ocorrem situações em que Associações de Moradores, Pessoas Jurídicas de Direito Privado que não integram a </w:t>
      </w:r>
      <w:proofErr w:type="spellStart"/>
      <w:r w:rsidR="00B20E7B">
        <w:rPr>
          <w:rFonts w:cstheme="minorHAnsi"/>
          <w:sz w:val="24"/>
          <w:szCs w:val="24"/>
        </w:rPr>
        <w:t>Admnistração</w:t>
      </w:r>
      <w:proofErr w:type="spellEnd"/>
      <w:r w:rsidR="00B20E7B">
        <w:rPr>
          <w:rFonts w:cstheme="minorHAnsi"/>
          <w:sz w:val="24"/>
          <w:szCs w:val="24"/>
        </w:rPr>
        <w:t xml:space="preserve"> Pública Municipal Indireta, têm </w:t>
      </w:r>
      <w:r w:rsidR="008F5187">
        <w:rPr>
          <w:rFonts w:cstheme="minorHAnsi"/>
          <w:sz w:val="24"/>
          <w:szCs w:val="24"/>
        </w:rPr>
        <w:t>exercido, ilicitamente, nas vias públicas</w:t>
      </w:r>
      <w:r w:rsidR="005E547E">
        <w:rPr>
          <w:rFonts w:cstheme="minorHAnsi"/>
          <w:sz w:val="24"/>
          <w:szCs w:val="24"/>
        </w:rPr>
        <w:t xml:space="preserve">, em loteamentos de acesso controlado, a fiscalização de trânsito e aplicação de multas, muitas das vezes amparadas por aparelhos </w:t>
      </w:r>
      <w:r w:rsidR="00AF76D0">
        <w:rPr>
          <w:rFonts w:cstheme="minorHAnsi"/>
          <w:sz w:val="24"/>
          <w:szCs w:val="24"/>
        </w:rPr>
        <w:t>sequer homologados pelo CONTRAN;</w:t>
      </w:r>
    </w:p>
    <w:p w14:paraId="73A91E9B" w14:textId="17AC742A" w:rsidR="00AF76D0" w:rsidRDefault="00AF76D0" w:rsidP="006D1DFB">
      <w:pPr>
        <w:spacing w:after="120" w:line="240" w:lineRule="auto"/>
        <w:ind w:left="1134" w:right="567" w:firstLine="1134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Considerando que o exercício do Poder de Polícia, em todas as suas fases</w:t>
      </w:r>
      <w:r w:rsidR="00614178">
        <w:rPr>
          <w:rFonts w:cstheme="minorHAnsi"/>
          <w:sz w:val="24"/>
          <w:szCs w:val="24"/>
        </w:rPr>
        <w:t xml:space="preserve"> (ordem/legislação de polícia, consentimento, fiscalização e sanção) é atribuição exclusiva do Estado, </w:t>
      </w:r>
      <w:r w:rsidR="007F20C7">
        <w:rPr>
          <w:rFonts w:cstheme="minorHAnsi"/>
          <w:sz w:val="24"/>
          <w:szCs w:val="24"/>
        </w:rPr>
        <w:t>com as características</w:t>
      </w:r>
      <w:r w:rsidR="00CE4C60">
        <w:rPr>
          <w:rFonts w:cstheme="minorHAnsi"/>
          <w:sz w:val="24"/>
          <w:szCs w:val="24"/>
        </w:rPr>
        <w:t xml:space="preserve"> </w:t>
      </w:r>
      <w:r w:rsidR="007F20C7">
        <w:rPr>
          <w:rFonts w:cstheme="minorHAnsi"/>
          <w:sz w:val="24"/>
          <w:szCs w:val="24"/>
        </w:rPr>
        <w:t xml:space="preserve">da discricionariedade, </w:t>
      </w:r>
      <w:proofErr w:type="spellStart"/>
      <w:r w:rsidR="007F20C7">
        <w:rPr>
          <w:rFonts w:cstheme="minorHAnsi"/>
          <w:sz w:val="24"/>
          <w:szCs w:val="24"/>
        </w:rPr>
        <w:t>auto-executoriedade</w:t>
      </w:r>
      <w:proofErr w:type="spellEnd"/>
      <w:r w:rsidR="007F20C7">
        <w:rPr>
          <w:rFonts w:cstheme="minorHAnsi"/>
          <w:sz w:val="24"/>
          <w:szCs w:val="24"/>
        </w:rPr>
        <w:t xml:space="preserve"> e coercibilidade</w:t>
      </w:r>
      <w:r w:rsidR="00ED5000">
        <w:rPr>
          <w:rFonts w:cstheme="minorHAnsi"/>
          <w:sz w:val="24"/>
          <w:szCs w:val="24"/>
        </w:rPr>
        <w:t>, aqui representado pelo Município de Itatiba;</w:t>
      </w:r>
    </w:p>
    <w:p w14:paraId="3818E919" w14:textId="19B87BDC" w:rsidR="00ED5000" w:rsidRDefault="008102D9" w:rsidP="006D1DFB">
      <w:pPr>
        <w:spacing w:after="120" w:line="240" w:lineRule="auto"/>
        <w:ind w:left="1134" w:right="567" w:firstLine="1134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Considerando, por fim, que o Supremo Tribunal Federal, no julgamento do </w:t>
      </w:r>
      <w:r w:rsidR="00F21AF2">
        <w:rPr>
          <w:rFonts w:cstheme="minorHAnsi"/>
          <w:sz w:val="24"/>
          <w:szCs w:val="24"/>
        </w:rPr>
        <w:t xml:space="preserve">Recurso Extraordinário </w:t>
      </w:r>
      <w:r w:rsidR="00600AFC">
        <w:rPr>
          <w:rFonts w:cstheme="minorHAnsi"/>
          <w:sz w:val="24"/>
          <w:szCs w:val="24"/>
        </w:rPr>
        <w:t>(</w:t>
      </w:r>
      <w:r w:rsidR="00600AFC" w:rsidRPr="00600AFC">
        <w:rPr>
          <w:rFonts w:cstheme="minorHAnsi"/>
          <w:sz w:val="24"/>
          <w:szCs w:val="24"/>
        </w:rPr>
        <w:t>RE 633782, Relator(a): LUIZ FUX, Tribunal Pleno, julgado em 26/10/2020, PROCESSO ELETRÔNICO REPERCUSSÃO GERAL - MÉRITO DJe-279 DIVULG 24-11-2020 PUBLIC 25-11-2020</w:t>
      </w:r>
      <w:r w:rsidR="00600AFC">
        <w:rPr>
          <w:rFonts w:cstheme="minorHAnsi"/>
          <w:sz w:val="24"/>
          <w:szCs w:val="24"/>
        </w:rPr>
        <w:t xml:space="preserve">), reconheceu a Repercussão Geral, no TEMA 532 e </w:t>
      </w:r>
      <w:r w:rsidR="0076108A">
        <w:rPr>
          <w:rFonts w:cstheme="minorHAnsi"/>
          <w:sz w:val="24"/>
          <w:szCs w:val="24"/>
        </w:rPr>
        <w:t xml:space="preserve">consignou que a possibilidade de delegação de fases do Ciclo </w:t>
      </w:r>
      <w:r w:rsidR="00134CAA">
        <w:rPr>
          <w:rFonts w:cstheme="minorHAnsi"/>
          <w:sz w:val="24"/>
          <w:szCs w:val="24"/>
        </w:rPr>
        <w:t xml:space="preserve">do Poder de Polícia poderiam ser delegadas, mediante a edição de lei formal autorizadora, apenas para </w:t>
      </w:r>
      <w:r w:rsidR="006E535A">
        <w:rPr>
          <w:rFonts w:cstheme="minorHAnsi"/>
          <w:sz w:val="24"/>
          <w:szCs w:val="24"/>
        </w:rPr>
        <w:t>P</w:t>
      </w:r>
      <w:r w:rsidR="006E535A" w:rsidRPr="006E535A">
        <w:rPr>
          <w:rFonts w:cstheme="minorHAnsi"/>
          <w:sz w:val="24"/>
          <w:szCs w:val="24"/>
        </w:rPr>
        <w:t xml:space="preserve">essoa </w:t>
      </w:r>
      <w:r w:rsidR="006E535A">
        <w:rPr>
          <w:rFonts w:cstheme="minorHAnsi"/>
          <w:sz w:val="24"/>
          <w:szCs w:val="24"/>
        </w:rPr>
        <w:t>J</w:t>
      </w:r>
      <w:r w:rsidR="006E535A" w:rsidRPr="006E535A">
        <w:rPr>
          <w:rFonts w:cstheme="minorHAnsi"/>
          <w:sz w:val="24"/>
          <w:szCs w:val="24"/>
        </w:rPr>
        <w:t xml:space="preserve">urídica de </w:t>
      </w:r>
      <w:r w:rsidR="006E535A">
        <w:rPr>
          <w:rFonts w:cstheme="minorHAnsi"/>
          <w:sz w:val="24"/>
          <w:szCs w:val="24"/>
        </w:rPr>
        <w:t>D</w:t>
      </w:r>
      <w:r w:rsidR="006E535A" w:rsidRPr="006E535A">
        <w:rPr>
          <w:rFonts w:cstheme="minorHAnsi"/>
          <w:sz w:val="24"/>
          <w:szCs w:val="24"/>
        </w:rPr>
        <w:t xml:space="preserve">ireito </w:t>
      </w:r>
      <w:r w:rsidR="006E535A">
        <w:rPr>
          <w:rFonts w:cstheme="minorHAnsi"/>
          <w:sz w:val="24"/>
          <w:szCs w:val="24"/>
        </w:rPr>
        <w:t>P</w:t>
      </w:r>
      <w:r w:rsidR="006E535A" w:rsidRPr="006E535A">
        <w:rPr>
          <w:rFonts w:cstheme="minorHAnsi"/>
          <w:sz w:val="24"/>
          <w:szCs w:val="24"/>
        </w:rPr>
        <w:t xml:space="preserve">rivado </w:t>
      </w:r>
      <w:r w:rsidR="006E535A">
        <w:rPr>
          <w:rFonts w:cstheme="minorHAnsi"/>
          <w:sz w:val="24"/>
          <w:szCs w:val="24"/>
        </w:rPr>
        <w:t>que seja I</w:t>
      </w:r>
      <w:r w:rsidR="006E535A" w:rsidRPr="006E535A">
        <w:rPr>
          <w:rFonts w:cstheme="minorHAnsi"/>
          <w:sz w:val="24"/>
          <w:szCs w:val="24"/>
        </w:rPr>
        <w:t xml:space="preserve">ntegrante da </w:t>
      </w:r>
      <w:r w:rsidR="006E535A">
        <w:rPr>
          <w:rFonts w:cstheme="minorHAnsi"/>
          <w:sz w:val="24"/>
          <w:szCs w:val="24"/>
        </w:rPr>
        <w:t>A</w:t>
      </w:r>
      <w:r w:rsidR="006E535A" w:rsidRPr="006E535A">
        <w:rPr>
          <w:rFonts w:cstheme="minorHAnsi"/>
          <w:sz w:val="24"/>
          <w:szCs w:val="24"/>
        </w:rPr>
        <w:t xml:space="preserve">dministração </w:t>
      </w:r>
      <w:r w:rsidR="006E535A">
        <w:rPr>
          <w:rFonts w:cstheme="minorHAnsi"/>
          <w:sz w:val="24"/>
          <w:szCs w:val="24"/>
        </w:rPr>
        <w:t>P</w:t>
      </w:r>
      <w:r w:rsidR="006E535A" w:rsidRPr="006E535A">
        <w:rPr>
          <w:rFonts w:cstheme="minorHAnsi"/>
          <w:sz w:val="24"/>
          <w:szCs w:val="24"/>
        </w:rPr>
        <w:t xml:space="preserve">ública </w:t>
      </w:r>
      <w:r w:rsidR="006E535A">
        <w:rPr>
          <w:rFonts w:cstheme="minorHAnsi"/>
          <w:sz w:val="24"/>
          <w:szCs w:val="24"/>
        </w:rPr>
        <w:t>I</w:t>
      </w:r>
      <w:r w:rsidR="006E535A" w:rsidRPr="006E535A">
        <w:rPr>
          <w:rFonts w:cstheme="minorHAnsi"/>
          <w:sz w:val="24"/>
          <w:szCs w:val="24"/>
        </w:rPr>
        <w:t>ndireta</w:t>
      </w:r>
      <w:r w:rsidR="006E535A">
        <w:rPr>
          <w:rFonts w:cstheme="minorHAnsi"/>
          <w:sz w:val="24"/>
          <w:szCs w:val="24"/>
        </w:rPr>
        <w:t xml:space="preserve">, </w:t>
      </w:r>
      <w:r w:rsidR="0017775E">
        <w:rPr>
          <w:rFonts w:cstheme="minorHAnsi"/>
          <w:sz w:val="24"/>
          <w:szCs w:val="24"/>
        </w:rPr>
        <w:t>e seja</w:t>
      </w:r>
      <w:r w:rsidR="006E535A" w:rsidRPr="006E535A">
        <w:rPr>
          <w:rFonts w:cstheme="minorHAnsi"/>
          <w:sz w:val="24"/>
          <w:szCs w:val="24"/>
        </w:rPr>
        <w:t xml:space="preserve"> </w:t>
      </w:r>
      <w:r w:rsidR="0017775E">
        <w:rPr>
          <w:rFonts w:cstheme="minorHAnsi"/>
          <w:sz w:val="24"/>
          <w:szCs w:val="24"/>
        </w:rPr>
        <w:t>S</w:t>
      </w:r>
      <w:r w:rsidR="006E535A" w:rsidRPr="006E535A">
        <w:rPr>
          <w:rFonts w:cstheme="minorHAnsi"/>
          <w:sz w:val="24"/>
          <w:szCs w:val="24"/>
        </w:rPr>
        <w:t xml:space="preserve">ociedade de </w:t>
      </w:r>
      <w:r w:rsidR="0017775E">
        <w:rPr>
          <w:rFonts w:cstheme="minorHAnsi"/>
          <w:sz w:val="24"/>
          <w:szCs w:val="24"/>
        </w:rPr>
        <w:t>E</w:t>
      </w:r>
      <w:r w:rsidR="006E535A" w:rsidRPr="006E535A">
        <w:rPr>
          <w:rFonts w:cstheme="minorHAnsi"/>
          <w:sz w:val="24"/>
          <w:szCs w:val="24"/>
        </w:rPr>
        <w:t xml:space="preserve">conomia </w:t>
      </w:r>
      <w:r w:rsidR="0017775E">
        <w:rPr>
          <w:rFonts w:cstheme="minorHAnsi"/>
          <w:sz w:val="24"/>
          <w:szCs w:val="24"/>
        </w:rPr>
        <w:t>M</w:t>
      </w:r>
      <w:r w:rsidR="006E535A" w:rsidRPr="006E535A">
        <w:rPr>
          <w:rFonts w:cstheme="minorHAnsi"/>
          <w:sz w:val="24"/>
          <w:szCs w:val="24"/>
        </w:rPr>
        <w:t>ista</w:t>
      </w:r>
      <w:r w:rsidR="0017775E">
        <w:rPr>
          <w:rFonts w:cstheme="minorHAnsi"/>
          <w:sz w:val="24"/>
          <w:szCs w:val="24"/>
        </w:rPr>
        <w:t xml:space="preserve">, </w:t>
      </w:r>
      <w:r w:rsidR="006E535A" w:rsidRPr="006E535A">
        <w:rPr>
          <w:rFonts w:cstheme="minorHAnsi"/>
          <w:sz w:val="24"/>
          <w:szCs w:val="24"/>
        </w:rPr>
        <w:t>prestadora de serviço público de atuação própria do estado</w:t>
      </w:r>
      <w:r w:rsidR="0017775E">
        <w:rPr>
          <w:rFonts w:cstheme="minorHAnsi"/>
          <w:sz w:val="24"/>
          <w:szCs w:val="24"/>
        </w:rPr>
        <w:t>, com</w:t>
      </w:r>
      <w:r w:rsidR="006E535A" w:rsidRPr="006E535A">
        <w:rPr>
          <w:rFonts w:cstheme="minorHAnsi"/>
          <w:sz w:val="24"/>
          <w:szCs w:val="24"/>
        </w:rPr>
        <w:t xml:space="preserve"> capital majoritariamente público</w:t>
      </w:r>
      <w:r w:rsidR="0017775E">
        <w:rPr>
          <w:rFonts w:cstheme="minorHAnsi"/>
          <w:sz w:val="24"/>
          <w:szCs w:val="24"/>
        </w:rPr>
        <w:t>, em</w:t>
      </w:r>
      <w:r w:rsidR="006E535A" w:rsidRPr="006E535A">
        <w:rPr>
          <w:rFonts w:cstheme="minorHAnsi"/>
          <w:sz w:val="24"/>
          <w:szCs w:val="24"/>
        </w:rPr>
        <w:t xml:space="preserve"> regime não concorrencial</w:t>
      </w:r>
      <w:r w:rsidR="0017775E">
        <w:rPr>
          <w:rFonts w:cstheme="minorHAnsi"/>
          <w:sz w:val="24"/>
          <w:szCs w:val="24"/>
        </w:rPr>
        <w:t xml:space="preserve">, </w:t>
      </w:r>
      <w:r w:rsidR="008E42E4">
        <w:rPr>
          <w:rFonts w:cstheme="minorHAnsi"/>
          <w:sz w:val="24"/>
          <w:szCs w:val="24"/>
        </w:rPr>
        <w:t>requisitos que diferem substancialmente de Associações de Moradores, em loteamentos de acesso controlado, cujas vias públicas, a despeito de serem mantidas pelas referidas Associações, pertencem ao Poder Público;</w:t>
      </w:r>
    </w:p>
    <w:p w14:paraId="1B5BF2EF" w14:textId="422CD82F" w:rsidR="006D1DFB" w:rsidRPr="00556AE3" w:rsidRDefault="008E42E4" w:rsidP="006D1DFB">
      <w:pPr>
        <w:spacing w:after="120" w:line="240" w:lineRule="auto"/>
        <w:ind w:left="1134" w:right="567" w:firstLine="1134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3447EC" w:rsidRPr="00556AE3">
        <w:rPr>
          <w:rFonts w:cstheme="minorHAnsi"/>
          <w:sz w:val="24"/>
          <w:szCs w:val="24"/>
        </w:rPr>
        <w:t xml:space="preserve"> fim de observar </w:t>
      </w:r>
      <w:r w:rsidR="00547916">
        <w:rPr>
          <w:rFonts w:cstheme="minorHAnsi"/>
          <w:sz w:val="24"/>
          <w:szCs w:val="24"/>
        </w:rPr>
        <w:t>o ordenamento jurídico</w:t>
      </w:r>
      <w:r>
        <w:rPr>
          <w:rFonts w:cstheme="minorHAnsi"/>
          <w:sz w:val="24"/>
          <w:szCs w:val="24"/>
        </w:rPr>
        <w:t xml:space="preserve"> e a decisão proferida pelo STF</w:t>
      </w:r>
      <w:r w:rsidR="00513D9A">
        <w:rPr>
          <w:rFonts w:cstheme="minorHAnsi"/>
          <w:sz w:val="24"/>
          <w:szCs w:val="24"/>
        </w:rPr>
        <w:t xml:space="preserve"> </w:t>
      </w:r>
      <w:proofErr w:type="spellStart"/>
      <w:r w:rsidR="00513D9A">
        <w:rPr>
          <w:rFonts w:cstheme="minorHAnsi"/>
          <w:sz w:val="24"/>
          <w:szCs w:val="24"/>
        </w:rPr>
        <w:t>supradescrita</w:t>
      </w:r>
      <w:proofErr w:type="spellEnd"/>
      <w:r w:rsidR="003447EC" w:rsidRPr="00556AE3">
        <w:rPr>
          <w:rFonts w:cstheme="minorHAnsi"/>
          <w:sz w:val="24"/>
          <w:szCs w:val="24"/>
        </w:rPr>
        <w:t>,</w:t>
      </w:r>
      <w:r w:rsidR="00D20C2D" w:rsidRPr="00556AE3">
        <w:rPr>
          <w:rFonts w:cstheme="minorHAnsi"/>
          <w:sz w:val="24"/>
          <w:szCs w:val="24"/>
        </w:rPr>
        <w:t xml:space="preserve"> encaminho este projeto de Lei </w:t>
      </w:r>
      <w:r w:rsidR="00F655B8" w:rsidRPr="00556AE3">
        <w:rPr>
          <w:rFonts w:cstheme="minorHAnsi"/>
          <w:sz w:val="24"/>
          <w:szCs w:val="24"/>
        </w:rPr>
        <w:t>aos pares, a fim de que seja apreciado, debatido e votado.</w:t>
      </w:r>
    </w:p>
    <w:p w14:paraId="1CB0F385" w14:textId="7EACEF2A" w:rsidR="00F655B8" w:rsidRPr="002B3A2A" w:rsidRDefault="009D0E64" w:rsidP="006D1DFB">
      <w:pPr>
        <w:spacing w:after="120" w:line="240" w:lineRule="auto"/>
        <w:ind w:left="1134" w:right="567" w:firstLine="1134"/>
        <w:contextualSpacing/>
        <w:jc w:val="both"/>
        <w:rPr>
          <w:rFonts w:cstheme="minorHAnsi"/>
          <w:sz w:val="24"/>
          <w:szCs w:val="24"/>
        </w:rPr>
      </w:pPr>
      <w:r w:rsidRPr="00556AE3">
        <w:rPr>
          <w:rFonts w:cstheme="minorHAnsi"/>
          <w:sz w:val="24"/>
          <w:szCs w:val="24"/>
        </w:rPr>
        <w:t>Acompanha o presente projeto de lei a estimativa de impacto orçamentário, o qual demonstra que não haverá nenhum desequilíbrio financeiro.</w:t>
      </w:r>
    </w:p>
    <w:p w14:paraId="7F8DE93A" w14:textId="77777777" w:rsidR="00D25256" w:rsidRPr="00D25256" w:rsidRDefault="00D25256" w:rsidP="00D25256">
      <w:pPr>
        <w:spacing w:after="120" w:line="240" w:lineRule="auto"/>
        <w:ind w:left="1134" w:right="567" w:firstLine="1134"/>
        <w:contextualSpacing/>
        <w:jc w:val="both"/>
        <w:rPr>
          <w:rFonts w:cstheme="minorHAnsi"/>
          <w:sz w:val="24"/>
          <w:szCs w:val="24"/>
        </w:rPr>
      </w:pPr>
    </w:p>
    <w:p w14:paraId="09548A21" w14:textId="0EFF323B" w:rsidR="0064298F" w:rsidRPr="00556AE3" w:rsidRDefault="0064298F" w:rsidP="007009BE">
      <w:pPr>
        <w:spacing w:after="120" w:line="240" w:lineRule="auto"/>
        <w:ind w:left="1134" w:right="567"/>
        <w:contextualSpacing/>
        <w:jc w:val="both"/>
        <w:rPr>
          <w:rFonts w:cstheme="minorHAnsi"/>
          <w:sz w:val="24"/>
          <w:szCs w:val="24"/>
        </w:rPr>
      </w:pPr>
    </w:p>
    <w:p w14:paraId="0B43D94D" w14:textId="6F209557" w:rsidR="0064298F" w:rsidRPr="00556AE3" w:rsidRDefault="009063D8" w:rsidP="00556AE3">
      <w:pPr>
        <w:spacing w:after="120" w:line="240" w:lineRule="auto"/>
        <w:ind w:left="1134" w:right="567"/>
        <w:contextualSpacing/>
        <w:jc w:val="center"/>
        <w:rPr>
          <w:rFonts w:cstheme="minorHAnsi"/>
          <w:sz w:val="24"/>
          <w:szCs w:val="24"/>
        </w:rPr>
      </w:pPr>
      <w:r w:rsidRPr="009063D8">
        <w:rPr>
          <w:rFonts w:cstheme="minorHAnsi"/>
          <w:bCs/>
          <w:sz w:val="24"/>
          <w:szCs w:val="24"/>
        </w:rPr>
        <w:t>Itatiba</w:t>
      </w:r>
      <w:r w:rsidR="005A4C30">
        <w:rPr>
          <w:rFonts w:cstheme="minorHAnsi"/>
          <w:sz w:val="24"/>
          <w:szCs w:val="24"/>
        </w:rPr>
        <w:t>, 07 de fevereiro de 2024.</w:t>
      </w:r>
    </w:p>
    <w:p w14:paraId="1600A9AF" w14:textId="77777777" w:rsidR="00A3120D" w:rsidRDefault="00A3120D" w:rsidP="00A3120D">
      <w:pPr>
        <w:spacing w:after="0" w:line="240" w:lineRule="auto"/>
        <w:ind w:left="1276"/>
        <w:jc w:val="both"/>
        <w:rPr>
          <w:rFonts w:cstheme="minorHAnsi"/>
          <w:sz w:val="24"/>
          <w:szCs w:val="24"/>
        </w:rPr>
      </w:pPr>
    </w:p>
    <w:p w14:paraId="46928F8D" w14:textId="77777777" w:rsidR="00932165" w:rsidRDefault="00932165" w:rsidP="00A3120D">
      <w:pPr>
        <w:spacing w:after="0" w:line="240" w:lineRule="auto"/>
        <w:ind w:left="1276"/>
        <w:jc w:val="both"/>
        <w:rPr>
          <w:rFonts w:cstheme="minorHAnsi"/>
          <w:sz w:val="24"/>
          <w:szCs w:val="24"/>
        </w:rPr>
      </w:pPr>
    </w:p>
    <w:p w14:paraId="6AF54FC7" w14:textId="77777777" w:rsidR="00932165" w:rsidRPr="00556AE3" w:rsidRDefault="00932165" w:rsidP="00A3120D">
      <w:pPr>
        <w:spacing w:after="0" w:line="240" w:lineRule="auto"/>
        <w:ind w:left="1276"/>
        <w:jc w:val="both"/>
        <w:rPr>
          <w:rFonts w:cstheme="minorHAnsi"/>
          <w:sz w:val="24"/>
          <w:szCs w:val="24"/>
        </w:rPr>
      </w:pPr>
    </w:p>
    <w:p w14:paraId="1E995676" w14:textId="1D80CA2F" w:rsidR="00A3120D" w:rsidRPr="00A17BF5" w:rsidRDefault="00A3120D" w:rsidP="009063D8">
      <w:pPr>
        <w:spacing w:after="0" w:line="240" w:lineRule="auto"/>
        <w:ind w:left="1276"/>
        <w:jc w:val="center"/>
        <w:rPr>
          <w:rFonts w:cstheme="minorHAnsi"/>
          <w:b/>
          <w:bCs/>
          <w:sz w:val="24"/>
          <w:szCs w:val="24"/>
        </w:rPr>
      </w:pPr>
      <w:r w:rsidRPr="00A17BF5">
        <w:rPr>
          <w:rFonts w:cstheme="minorHAnsi"/>
          <w:b/>
          <w:bCs/>
          <w:sz w:val="24"/>
          <w:szCs w:val="24"/>
        </w:rPr>
        <w:t>DAVID JOSÉ BUENO GOMES</w:t>
      </w:r>
    </w:p>
    <w:p w14:paraId="7B96B758" w14:textId="70D93694" w:rsidR="00A3120D" w:rsidRPr="00556AE3" w:rsidRDefault="00A3120D" w:rsidP="009063D8">
      <w:pPr>
        <w:spacing w:after="0" w:line="240" w:lineRule="auto"/>
        <w:ind w:left="1276"/>
        <w:jc w:val="center"/>
        <w:rPr>
          <w:rFonts w:cstheme="minorHAnsi"/>
          <w:sz w:val="24"/>
          <w:szCs w:val="24"/>
        </w:rPr>
      </w:pPr>
      <w:r w:rsidRPr="00556AE3">
        <w:rPr>
          <w:rFonts w:cstheme="minorHAnsi"/>
          <w:sz w:val="24"/>
          <w:szCs w:val="24"/>
        </w:rPr>
        <w:t>Presidente</w:t>
      </w:r>
    </w:p>
    <w:p w14:paraId="600499F0" w14:textId="77777777" w:rsidR="00A3120D" w:rsidRDefault="00A3120D" w:rsidP="00A3120D">
      <w:pPr>
        <w:spacing w:after="0" w:line="240" w:lineRule="auto"/>
        <w:ind w:left="1276"/>
        <w:jc w:val="both"/>
        <w:rPr>
          <w:rFonts w:cstheme="minorHAnsi"/>
          <w:sz w:val="24"/>
          <w:szCs w:val="24"/>
        </w:rPr>
      </w:pPr>
    </w:p>
    <w:p w14:paraId="3CBBD2B3" w14:textId="77777777" w:rsidR="0064298F" w:rsidRPr="00556AE3" w:rsidRDefault="0064298F" w:rsidP="007009BE">
      <w:pPr>
        <w:spacing w:after="120" w:line="240" w:lineRule="auto"/>
        <w:ind w:left="1134" w:right="567"/>
        <w:contextualSpacing/>
        <w:jc w:val="center"/>
        <w:rPr>
          <w:rFonts w:cstheme="minorHAnsi"/>
          <w:b/>
          <w:sz w:val="24"/>
          <w:szCs w:val="24"/>
        </w:rPr>
      </w:pPr>
      <w:r w:rsidRPr="00556AE3">
        <w:rPr>
          <w:rFonts w:cstheme="minorHAnsi"/>
          <w:b/>
          <w:sz w:val="24"/>
          <w:szCs w:val="24"/>
        </w:rPr>
        <w:lastRenderedPageBreak/>
        <w:t>PALÁCIO 1º DE NOVEMBRO</w:t>
      </w:r>
    </w:p>
    <w:p w14:paraId="0C8EE988" w14:textId="77777777" w:rsidR="0064298F" w:rsidRPr="00556AE3" w:rsidRDefault="0064298F" w:rsidP="007009BE">
      <w:pPr>
        <w:spacing w:after="120" w:line="240" w:lineRule="auto"/>
        <w:ind w:left="1134" w:right="567"/>
        <w:contextualSpacing/>
        <w:jc w:val="both"/>
        <w:rPr>
          <w:rFonts w:cstheme="minorHAnsi"/>
          <w:b/>
          <w:sz w:val="24"/>
          <w:szCs w:val="24"/>
        </w:rPr>
      </w:pPr>
    </w:p>
    <w:p w14:paraId="23D7F2C1" w14:textId="3349E181" w:rsidR="00BE2E0B" w:rsidRPr="00556AE3" w:rsidRDefault="00A3120D" w:rsidP="007009BE">
      <w:pPr>
        <w:spacing w:after="120" w:line="240" w:lineRule="auto"/>
        <w:ind w:left="1134" w:right="567"/>
        <w:contextualSpacing/>
        <w:jc w:val="both"/>
        <w:rPr>
          <w:rFonts w:cstheme="minorHAnsi"/>
          <w:b/>
          <w:sz w:val="24"/>
          <w:szCs w:val="24"/>
        </w:rPr>
      </w:pPr>
      <w:r w:rsidRPr="00556AE3">
        <w:rPr>
          <w:rFonts w:cstheme="minorHAnsi"/>
          <w:b/>
          <w:sz w:val="24"/>
          <w:szCs w:val="24"/>
        </w:rPr>
        <w:t xml:space="preserve">Projeto de Lei nº </w:t>
      </w:r>
      <w:r w:rsidR="00F15925">
        <w:rPr>
          <w:rFonts w:cstheme="minorHAnsi"/>
          <w:b/>
          <w:sz w:val="24"/>
          <w:szCs w:val="24"/>
        </w:rPr>
        <w:t>04</w:t>
      </w:r>
      <w:r w:rsidRPr="00556AE3">
        <w:rPr>
          <w:rFonts w:cstheme="minorHAnsi"/>
          <w:b/>
          <w:sz w:val="24"/>
          <w:szCs w:val="24"/>
        </w:rPr>
        <w:t>/2024, que “</w:t>
      </w:r>
      <w:r w:rsidR="00A17BF5">
        <w:rPr>
          <w:rFonts w:cstheme="minorHAnsi"/>
          <w:b/>
          <w:sz w:val="24"/>
          <w:szCs w:val="24"/>
        </w:rPr>
        <w:t xml:space="preserve">Proíbe </w:t>
      </w:r>
      <w:r w:rsidR="00513D9A">
        <w:rPr>
          <w:rFonts w:cstheme="minorHAnsi"/>
          <w:b/>
          <w:sz w:val="24"/>
          <w:szCs w:val="24"/>
        </w:rPr>
        <w:t>o exercício do Poder de Polícia por Pessoas Jurídicas de Direito Privado</w:t>
      </w:r>
      <w:r w:rsidR="00297CF1">
        <w:rPr>
          <w:rFonts w:cstheme="minorHAnsi"/>
          <w:b/>
          <w:sz w:val="24"/>
          <w:szCs w:val="24"/>
        </w:rPr>
        <w:t xml:space="preserve"> que não integram a Administração Pública Indireta</w:t>
      </w:r>
      <w:r w:rsidR="00513D9A">
        <w:rPr>
          <w:rFonts w:cstheme="minorHAnsi"/>
          <w:b/>
          <w:sz w:val="24"/>
          <w:szCs w:val="24"/>
        </w:rPr>
        <w:t xml:space="preserve"> no município de Itatiba</w:t>
      </w:r>
      <w:r w:rsidRPr="00556AE3">
        <w:rPr>
          <w:rFonts w:cstheme="minorHAnsi"/>
          <w:b/>
          <w:sz w:val="24"/>
          <w:szCs w:val="24"/>
        </w:rPr>
        <w:t>”</w:t>
      </w:r>
    </w:p>
    <w:p w14:paraId="4999FA6E" w14:textId="77777777" w:rsidR="00BE2E0B" w:rsidRPr="00556AE3" w:rsidRDefault="00BE2E0B" w:rsidP="007009BE">
      <w:pPr>
        <w:spacing w:after="120" w:line="240" w:lineRule="auto"/>
        <w:ind w:left="1134" w:right="567"/>
        <w:contextualSpacing/>
        <w:jc w:val="both"/>
        <w:rPr>
          <w:rFonts w:cstheme="minorHAnsi"/>
          <w:b/>
          <w:sz w:val="24"/>
          <w:szCs w:val="24"/>
        </w:rPr>
      </w:pPr>
    </w:p>
    <w:p w14:paraId="6597CA51" w14:textId="77777777" w:rsidR="00F86C80" w:rsidRDefault="00F86C80" w:rsidP="007009BE">
      <w:pPr>
        <w:spacing w:after="120" w:line="240" w:lineRule="auto"/>
        <w:ind w:left="1134" w:right="567"/>
        <w:contextualSpacing/>
        <w:jc w:val="both"/>
        <w:rPr>
          <w:rFonts w:cstheme="minorHAnsi"/>
          <w:b/>
          <w:sz w:val="24"/>
          <w:szCs w:val="24"/>
        </w:rPr>
      </w:pPr>
    </w:p>
    <w:p w14:paraId="5BBFB9D8" w14:textId="7C305773" w:rsidR="0064298F" w:rsidRPr="00556AE3" w:rsidRDefault="0064298F" w:rsidP="007009BE">
      <w:pPr>
        <w:spacing w:after="120" w:line="240" w:lineRule="auto"/>
        <w:ind w:left="1134" w:right="567"/>
        <w:contextualSpacing/>
        <w:jc w:val="both"/>
        <w:rPr>
          <w:rFonts w:cstheme="minorHAnsi"/>
          <w:b/>
          <w:sz w:val="24"/>
          <w:szCs w:val="24"/>
        </w:rPr>
      </w:pPr>
      <w:r w:rsidRPr="00556AE3">
        <w:rPr>
          <w:rFonts w:cstheme="minorHAnsi"/>
          <w:b/>
          <w:sz w:val="24"/>
          <w:szCs w:val="24"/>
        </w:rPr>
        <w:t>A CÂMARA MUNICIPAL DE ITATIBA APROVA</w:t>
      </w:r>
      <w:r w:rsidRPr="00556AE3">
        <w:rPr>
          <w:rFonts w:cstheme="minorHAnsi"/>
          <w:sz w:val="24"/>
          <w:szCs w:val="24"/>
        </w:rPr>
        <w:t>:</w:t>
      </w:r>
    </w:p>
    <w:p w14:paraId="65496C42" w14:textId="77777777" w:rsidR="0064298F" w:rsidRPr="00556AE3" w:rsidRDefault="0064298F" w:rsidP="007009BE">
      <w:pPr>
        <w:spacing w:after="120" w:line="240" w:lineRule="auto"/>
        <w:ind w:left="1134" w:right="567"/>
        <w:contextualSpacing/>
        <w:jc w:val="both"/>
        <w:rPr>
          <w:rFonts w:cstheme="minorHAnsi"/>
          <w:sz w:val="24"/>
          <w:szCs w:val="24"/>
        </w:rPr>
      </w:pPr>
    </w:p>
    <w:p w14:paraId="2A90483F" w14:textId="77777777" w:rsidR="00F86C80" w:rsidRDefault="00F86C80" w:rsidP="00A17BF5">
      <w:pPr>
        <w:spacing w:after="120" w:line="240" w:lineRule="auto"/>
        <w:ind w:left="1134" w:right="567"/>
        <w:contextualSpacing/>
        <w:jc w:val="both"/>
        <w:rPr>
          <w:rFonts w:cstheme="minorHAnsi"/>
          <w:b/>
          <w:sz w:val="24"/>
          <w:szCs w:val="24"/>
        </w:rPr>
      </w:pPr>
    </w:p>
    <w:p w14:paraId="1EDF37C0" w14:textId="22F92D9F" w:rsidR="007009BE" w:rsidRPr="00556AE3" w:rsidRDefault="0064298F" w:rsidP="00A17BF5">
      <w:pPr>
        <w:spacing w:after="120" w:line="240" w:lineRule="auto"/>
        <w:ind w:left="1134" w:right="567"/>
        <w:contextualSpacing/>
        <w:jc w:val="both"/>
        <w:rPr>
          <w:rFonts w:cstheme="minorHAnsi"/>
          <w:sz w:val="24"/>
          <w:szCs w:val="24"/>
        </w:rPr>
      </w:pPr>
      <w:r w:rsidRPr="00556AE3">
        <w:rPr>
          <w:rFonts w:cstheme="minorHAnsi"/>
          <w:b/>
          <w:sz w:val="24"/>
          <w:szCs w:val="24"/>
        </w:rPr>
        <w:t>Art. 1º</w:t>
      </w:r>
      <w:r w:rsidRPr="00556AE3">
        <w:rPr>
          <w:rFonts w:cstheme="minorHAnsi"/>
          <w:bCs/>
          <w:sz w:val="24"/>
          <w:szCs w:val="24"/>
        </w:rPr>
        <w:t xml:space="preserve"> </w:t>
      </w:r>
      <w:r w:rsidR="00513D9A">
        <w:rPr>
          <w:rFonts w:cstheme="minorHAnsi"/>
          <w:sz w:val="24"/>
          <w:szCs w:val="24"/>
        </w:rPr>
        <w:t>É proibido</w:t>
      </w:r>
      <w:r w:rsidR="00DD1F2B">
        <w:rPr>
          <w:rFonts w:cstheme="minorHAnsi"/>
          <w:sz w:val="24"/>
          <w:szCs w:val="24"/>
        </w:rPr>
        <w:t>, no município de Itatiba,</w:t>
      </w:r>
      <w:r w:rsidR="00513D9A">
        <w:rPr>
          <w:rFonts w:cstheme="minorHAnsi"/>
          <w:sz w:val="24"/>
          <w:szCs w:val="24"/>
        </w:rPr>
        <w:t xml:space="preserve"> o exercício do Poder de Polícia</w:t>
      </w:r>
      <w:r w:rsidR="009A16AB">
        <w:rPr>
          <w:rFonts w:cstheme="minorHAnsi"/>
          <w:sz w:val="24"/>
          <w:szCs w:val="24"/>
        </w:rPr>
        <w:t xml:space="preserve">, </w:t>
      </w:r>
      <w:r w:rsidR="000C0A07">
        <w:rPr>
          <w:rFonts w:cstheme="minorHAnsi"/>
          <w:sz w:val="24"/>
          <w:szCs w:val="24"/>
        </w:rPr>
        <w:t>sobretudo a fiscalização, autuação e sanção decorrentes d</w:t>
      </w:r>
      <w:r w:rsidR="00E73434">
        <w:rPr>
          <w:rFonts w:cstheme="minorHAnsi"/>
          <w:sz w:val="24"/>
          <w:szCs w:val="24"/>
        </w:rPr>
        <w:t>e</w:t>
      </w:r>
      <w:r w:rsidR="000C0A07">
        <w:rPr>
          <w:rFonts w:cstheme="minorHAnsi"/>
          <w:sz w:val="24"/>
          <w:szCs w:val="24"/>
        </w:rPr>
        <w:t xml:space="preserve"> normas de trânsito, </w:t>
      </w:r>
      <w:r w:rsidR="009A16AB">
        <w:rPr>
          <w:rFonts w:cstheme="minorHAnsi"/>
          <w:sz w:val="24"/>
          <w:szCs w:val="24"/>
        </w:rPr>
        <w:t>por Pessoas Jurídicas de Direito Privado que não integram a Administração Pública</w:t>
      </w:r>
      <w:r w:rsidR="00DD1F2B">
        <w:rPr>
          <w:rFonts w:cstheme="minorHAnsi"/>
          <w:sz w:val="24"/>
          <w:szCs w:val="24"/>
        </w:rPr>
        <w:t xml:space="preserve"> </w:t>
      </w:r>
      <w:r w:rsidR="009A16AB">
        <w:rPr>
          <w:rFonts w:cstheme="minorHAnsi"/>
          <w:sz w:val="24"/>
          <w:szCs w:val="24"/>
        </w:rPr>
        <w:t>Municipal</w:t>
      </w:r>
      <w:r w:rsidR="007A5574">
        <w:rPr>
          <w:rFonts w:cstheme="minorHAnsi"/>
          <w:sz w:val="24"/>
          <w:szCs w:val="24"/>
        </w:rPr>
        <w:t>,</w:t>
      </w:r>
      <w:r w:rsidR="00113971">
        <w:rPr>
          <w:rFonts w:cstheme="minorHAnsi"/>
          <w:sz w:val="24"/>
          <w:szCs w:val="24"/>
        </w:rPr>
        <w:t xml:space="preserve"> em todas as vias públicas</w:t>
      </w:r>
      <w:r w:rsidR="000540B7">
        <w:rPr>
          <w:rFonts w:cstheme="minorHAnsi"/>
          <w:sz w:val="24"/>
          <w:szCs w:val="24"/>
        </w:rPr>
        <w:t xml:space="preserve"> municipais</w:t>
      </w:r>
      <w:r w:rsidR="007A5574">
        <w:rPr>
          <w:rFonts w:cstheme="minorHAnsi"/>
          <w:sz w:val="24"/>
          <w:szCs w:val="24"/>
        </w:rPr>
        <w:t xml:space="preserve">, inclusive </w:t>
      </w:r>
      <w:r w:rsidR="00CC632A">
        <w:rPr>
          <w:rFonts w:cstheme="minorHAnsi"/>
          <w:sz w:val="24"/>
          <w:szCs w:val="24"/>
        </w:rPr>
        <w:t>n</w:t>
      </w:r>
      <w:r w:rsidR="007A5574">
        <w:rPr>
          <w:rFonts w:cstheme="minorHAnsi"/>
          <w:sz w:val="24"/>
          <w:szCs w:val="24"/>
        </w:rPr>
        <w:t>aquelas inseridas em loteamentos de acesso controlado</w:t>
      </w:r>
      <w:r w:rsidR="005A437A" w:rsidRPr="00556AE3">
        <w:rPr>
          <w:rFonts w:cstheme="minorHAnsi"/>
          <w:sz w:val="24"/>
          <w:szCs w:val="24"/>
        </w:rPr>
        <w:t>.</w:t>
      </w:r>
    </w:p>
    <w:p w14:paraId="424B5C61" w14:textId="77777777" w:rsidR="003A5292" w:rsidRPr="00556AE3" w:rsidRDefault="003A5292" w:rsidP="00A17BF5">
      <w:pPr>
        <w:spacing w:after="120" w:line="240" w:lineRule="auto"/>
        <w:ind w:left="1134" w:right="567"/>
        <w:contextualSpacing/>
        <w:jc w:val="both"/>
        <w:rPr>
          <w:rFonts w:cstheme="minorHAnsi"/>
          <w:b/>
          <w:sz w:val="24"/>
          <w:szCs w:val="24"/>
        </w:rPr>
      </w:pPr>
    </w:p>
    <w:p w14:paraId="158B6FFD" w14:textId="5F38D967" w:rsidR="003D1CC2" w:rsidRDefault="0064298F" w:rsidP="00A17BF5">
      <w:pPr>
        <w:spacing w:after="120" w:line="240" w:lineRule="auto"/>
        <w:ind w:left="1134" w:right="567"/>
        <w:contextualSpacing/>
        <w:jc w:val="both"/>
        <w:rPr>
          <w:rFonts w:cstheme="minorHAnsi"/>
          <w:sz w:val="24"/>
          <w:szCs w:val="24"/>
        </w:rPr>
      </w:pPr>
      <w:r w:rsidRPr="00556AE3">
        <w:rPr>
          <w:rFonts w:cstheme="minorHAnsi"/>
          <w:b/>
          <w:sz w:val="24"/>
          <w:szCs w:val="24"/>
        </w:rPr>
        <w:t>Art. 2º</w:t>
      </w:r>
      <w:r w:rsidR="00884141" w:rsidRPr="00556AE3">
        <w:rPr>
          <w:rFonts w:cstheme="minorHAnsi"/>
          <w:sz w:val="24"/>
          <w:szCs w:val="24"/>
        </w:rPr>
        <w:t xml:space="preserve"> </w:t>
      </w:r>
      <w:r w:rsidR="000540B7">
        <w:rPr>
          <w:rFonts w:cstheme="minorHAnsi"/>
          <w:sz w:val="24"/>
          <w:szCs w:val="24"/>
        </w:rPr>
        <w:t xml:space="preserve">A </w:t>
      </w:r>
      <w:r w:rsidR="00A34A64">
        <w:rPr>
          <w:rFonts w:cstheme="minorHAnsi"/>
          <w:sz w:val="24"/>
          <w:szCs w:val="24"/>
        </w:rPr>
        <w:t>ino</w:t>
      </w:r>
      <w:r w:rsidR="0072606F">
        <w:rPr>
          <w:rFonts w:cstheme="minorHAnsi"/>
          <w:sz w:val="24"/>
          <w:szCs w:val="24"/>
        </w:rPr>
        <w:t xml:space="preserve">bservância à proibição </w:t>
      </w:r>
      <w:r w:rsidR="00E73434">
        <w:rPr>
          <w:rFonts w:cstheme="minorHAnsi"/>
          <w:sz w:val="24"/>
          <w:szCs w:val="24"/>
        </w:rPr>
        <w:t>especificada no artigo anterior</w:t>
      </w:r>
      <w:r w:rsidR="0072606F">
        <w:rPr>
          <w:rFonts w:cstheme="minorHAnsi"/>
          <w:sz w:val="24"/>
          <w:szCs w:val="24"/>
        </w:rPr>
        <w:t xml:space="preserve"> ensejará a aplicação de multa </w:t>
      </w:r>
      <w:r w:rsidR="00E81117">
        <w:rPr>
          <w:rFonts w:cstheme="minorHAnsi"/>
          <w:sz w:val="24"/>
          <w:szCs w:val="24"/>
        </w:rPr>
        <w:t>em desfavor da entidade infratora</w:t>
      </w:r>
      <w:r w:rsidR="00165156">
        <w:rPr>
          <w:rFonts w:cstheme="minorHAnsi"/>
          <w:sz w:val="24"/>
          <w:szCs w:val="24"/>
        </w:rPr>
        <w:t xml:space="preserve">, </w:t>
      </w:r>
      <w:r w:rsidR="003D1CC2">
        <w:rPr>
          <w:rFonts w:cstheme="minorHAnsi"/>
          <w:sz w:val="24"/>
          <w:szCs w:val="24"/>
        </w:rPr>
        <w:t>no valor de R$ 5.000,00 (cinco mil reais).</w:t>
      </w:r>
    </w:p>
    <w:p w14:paraId="1F99CFB5" w14:textId="77777777" w:rsidR="001466C6" w:rsidRDefault="001466C6" w:rsidP="00A17BF5">
      <w:pPr>
        <w:spacing w:after="120" w:line="240" w:lineRule="auto"/>
        <w:ind w:left="1134" w:right="567"/>
        <w:contextualSpacing/>
        <w:jc w:val="both"/>
        <w:rPr>
          <w:rFonts w:cstheme="minorHAnsi"/>
          <w:b/>
          <w:sz w:val="24"/>
          <w:szCs w:val="24"/>
        </w:rPr>
      </w:pPr>
    </w:p>
    <w:p w14:paraId="52D42A63" w14:textId="69A98E13" w:rsidR="00B50D16" w:rsidRDefault="00E07B63" w:rsidP="00A17BF5">
      <w:pPr>
        <w:spacing w:after="120" w:line="240" w:lineRule="auto"/>
        <w:ind w:left="1134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§1º </w:t>
      </w:r>
      <w:r w:rsidRPr="00E07B63">
        <w:rPr>
          <w:rFonts w:cstheme="minorHAnsi"/>
          <w:bCs/>
          <w:sz w:val="24"/>
          <w:szCs w:val="24"/>
        </w:rPr>
        <w:t>E</w:t>
      </w:r>
      <w:r w:rsidR="000668AE">
        <w:rPr>
          <w:rFonts w:cstheme="minorHAnsi"/>
          <w:sz w:val="24"/>
          <w:szCs w:val="24"/>
        </w:rPr>
        <w:t xml:space="preserve">m caso de reincidência, </w:t>
      </w:r>
      <w:r w:rsidR="007E6AB1">
        <w:rPr>
          <w:rFonts w:cstheme="minorHAnsi"/>
          <w:sz w:val="24"/>
          <w:szCs w:val="24"/>
        </w:rPr>
        <w:t>será aplicada nova</w:t>
      </w:r>
      <w:r>
        <w:rPr>
          <w:rFonts w:cstheme="minorHAnsi"/>
          <w:sz w:val="24"/>
          <w:szCs w:val="24"/>
        </w:rPr>
        <w:t xml:space="preserve"> multa</w:t>
      </w:r>
      <w:r w:rsidR="00CC632A">
        <w:rPr>
          <w:rFonts w:cstheme="minorHAnsi"/>
          <w:sz w:val="24"/>
          <w:szCs w:val="24"/>
        </w:rPr>
        <w:t xml:space="preserve"> </w:t>
      </w:r>
      <w:r w:rsidR="007E6AB1">
        <w:rPr>
          <w:rFonts w:cstheme="minorHAnsi"/>
          <w:sz w:val="24"/>
          <w:szCs w:val="24"/>
        </w:rPr>
        <w:t xml:space="preserve">com o valor previsto no </w:t>
      </w:r>
      <w:r w:rsidR="007E6AB1">
        <w:rPr>
          <w:rFonts w:cstheme="minorHAnsi"/>
          <w:i/>
          <w:iCs/>
          <w:sz w:val="24"/>
          <w:szCs w:val="24"/>
        </w:rPr>
        <w:t xml:space="preserve">caput </w:t>
      </w:r>
      <w:r w:rsidR="000668AE">
        <w:rPr>
          <w:rFonts w:cstheme="minorHAnsi"/>
          <w:sz w:val="24"/>
          <w:szCs w:val="24"/>
        </w:rPr>
        <w:t>acrescido de 100% (cem por</w:t>
      </w:r>
      <w:r w:rsidR="00A6196A">
        <w:rPr>
          <w:rFonts w:cstheme="minorHAnsi"/>
          <w:sz w:val="24"/>
          <w:szCs w:val="24"/>
        </w:rPr>
        <w:t xml:space="preserve"> </w:t>
      </w:r>
      <w:r w:rsidR="000668AE">
        <w:rPr>
          <w:rFonts w:cstheme="minorHAnsi"/>
          <w:sz w:val="24"/>
          <w:szCs w:val="24"/>
        </w:rPr>
        <w:t>cento).</w:t>
      </w:r>
    </w:p>
    <w:p w14:paraId="32C5FC77" w14:textId="77777777" w:rsidR="001466C6" w:rsidRDefault="001466C6" w:rsidP="00A17BF5">
      <w:pPr>
        <w:spacing w:after="120" w:line="240" w:lineRule="auto"/>
        <w:ind w:left="1134" w:right="567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EE42F23" w14:textId="28E87E9A" w:rsidR="007E6AB1" w:rsidRPr="007E6AB1" w:rsidRDefault="007E6AB1" w:rsidP="00A17BF5">
      <w:pPr>
        <w:spacing w:after="120" w:line="240" w:lineRule="auto"/>
        <w:ind w:left="1134" w:right="567"/>
        <w:contextualSpacing/>
        <w:jc w:val="both"/>
        <w:rPr>
          <w:rFonts w:cstheme="minorHAnsi"/>
          <w:sz w:val="24"/>
          <w:szCs w:val="24"/>
        </w:rPr>
      </w:pPr>
      <w:r w:rsidRPr="007E6AB1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 xml:space="preserve">2º </w:t>
      </w:r>
      <w:r>
        <w:rPr>
          <w:rFonts w:cstheme="minorHAnsi"/>
          <w:sz w:val="24"/>
          <w:szCs w:val="24"/>
        </w:rPr>
        <w:t xml:space="preserve">O valor previsto no </w:t>
      </w:r>
      <w:r w:rsidRPr="007E6AB1">
        <w:rPr>
          <w:rFonts w:cstheme="minorHAnsi"/>
          <w:i/>
          <w:iCs/>
          <w:sz w:val="24"/>
          <w:szCs w:val="24"/>
        </w:rPr>
        <w:t>caput</w:t>
      </w:r>
      <w:r>
        <w:rPr>
          <w:rFonts w:cstheme="minorHAnsi"/>
          <w:sz w:val="24"/>
          <w:szCs w:val="24"/>
        </w:rPr>
        <w:t xml:space="preserve"> será atualizado anualmente, mediante Decreto municipal, </w:t>
      </w:r>
      <w:r w:rsidR="001466C6">
        <w:rPr>
          <w:rFonts w:cstheme="minorHAnsi"/>
          <w:sz w:val="24"/>
          <w:szCs w:val="24"/>
        </w:rPr>
        <w:t>observando-se a taxa SELIC</w:t>
      </w:r>
    </w:p>
    <w:p w14:paraId="237CE98E" w14:textId="77777777" w:rsidR="000668AE" w:rsidRDefault="000668AE" w:rsidP="00A17BF5">
      <w:pPr>
        <w:spacing w:after="120" w:line="240" w:lineRule="auto"/>
        <w:ind w:left="1134" w:right="567"/>
        <w:contextualSpacing/>
        <w:jc w:val="both"/>
        <w:rPr>
          <w:rFonts w:cstheme="minorHAnsi"/>
          <w:sz w:val="24"/>
          <w:szCs w:val="24"/>
        </w:rPr>
      </w:pPr>
    </w:p>
    <w:p w14:paraId="28AB0334" w14:textId="28BC69F0" w:rsidR="002D56DE" w:rsidRDefault="00551F63" w:rsidP="00A17BF5">
      <w:pPr>
        <w:spacing w:after="120" w:line="240" w:lineRule="auto"/>
        <w:ind w:left="1134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Art. 3º</w:t>
      </w:r>
      <w:r w:rsidR="002D56DE" w:rsidRPr="002D56DE">
        <w:rPr>
          <w:rFonts w:cstheme="minorHAnsi"/>
          <w:b/>
          <w:bCs/>
          <w:sz w:val="24"/>
          <w:szCs w:val="24"/>
        </w:rPr>
        <w:t xml:space="preserve"> </w:t>
      </w:r>
      <w:r w:rsidR="002D56DE">
        <w:rPr>
          <w:rFonts w:cstheme="minorHAnsi"/>
          <w:sz w:val="24"/>
          <w:szCs w:val="24"/>
        </w:rPr>
        <w:t xml:space="preserve">Sem prejuízo da multa prevista pelo </w:t>
      </w:r>
      <w:r w:rsidR="002D56DE">
        <w:rPr>
          <w:rFonts w:cstheme="minorHAnsi"/>
          <w:i/>
          <w:iCs/>
          <w:sz w:val="24"/>
          <w:szCs w:val="24"/>
        </w:rPr>
        <w:t>caput</w:t>
      </w:r>
      <w:r w:rsidR="002D56DE">
        <w:rPr>
          <w:rFonts w:cstheme="minorHAnsi"/>
          <w:sz w:val="24"/>
          <w:szCs w:val="24"/>
        </w:rPr>
        <w:t xml:space="preserve">, </w:t>
      </w:r>
      <w:r w:rsidR="00BA1DBF">
        <w:rPr>
          <w:rFonts w:cstheme="minorHAnsi"/>
          <w:sz w:val="24"/>
          <w:szCs w:val="24"/>
        </w:rPr>
        <w:t>no caso d</w:t>
      </w:r>
      <w:r w:rsidR="000E5C5A">
        <w:rPr>
          <w:rFonts w:cstheme="minorHAnsi"/>
          <w:sz w:val="24"/>
          <w:szCs w:val="24"/>
        </w:rPr>
        <w:t xml:space="preserve">o exercício ilegal do Poder de Polícia </w:t>
      </w:r>
      <w:r w:rsidR="00BA1DBF">
        <w:rPr>
          <w:rFonts w:cstheme="minorHAnsi"/>
          <w:sz w:val="24"/>
          <w:szCs w:val="24"/>
        </w:rPr>
        <w:t>realizad</w:t>
      </w:r>
      <w:r w:rsidR="000E5C5A">
        <w:rPr>
          <w:rFonts w:cstheme="minorHAnsi"/>
          <w:sz w:val="24"/>
          <w:szCs w:val="24"/>
        </w:rPr>
        <w:t>o</w:t>
      </w:r>
      <w:r w:rsidR="00BA1DBF">
        <w:rPr>
          <w:rFonts w:cstheme="minorHAnsi"/>
          <w:sz w:val="24"/>
          <w:szCs w:val="24"/>
        </w:rPr>
        <w:t xml:space="preserve"> por Pessoa Jurídica de Direito Privado</w:t>
      </w:r>
      <w:r w:rsidR="000E5C5A">
        <w:rPr>
          <w:rFonts w:cstheme="minorHAnsi"/>
          <w:sz w:val="24"/>
          <w:szCs w:val="24"/>
        </w:rPr>
        <w:t xml:space="preserve"> não integrante da Administração Pública municipal</w:t>
      </w:r>
      <w:r w:rsidR="00BA1DBF">
        <w:rPr>
          <w:rFonts w:cstheme="minorHAnsi"/>
          <w:sz w:val="24"/>
          <w:szCs w:val="24"/>
        </w:rPr>
        <w:t xml:space="preserve"> com o auxílio de </w:t>
      </w:r>
      <w:r w:rsidR="008758DD">
        <w:rPr>
          <w:rFonts w:cstheme="minorHAnsi"/>
          <w:sz w:val="24"/>
          <w:szCs w:val="24"/>
        </w:rPr>
        <w:t>máquinas</w:t>
      </w:r>
      <w:r w:rsidR="00E439FC">
        <w:rPr>
          <w:rFonts w:cstheme="minorHAnsi"/>
          <w:sz w:val="24"/>
          <w:szCs w:val="24"/>
        </w:rPr>
        <w:t>, aparelhos ou qualquer outro objeto</w:t>
      </w:r>
      <w:r w:rsidR="008758DD">
        <w:rPr>
          <w:rFonts w:cstheme="minorHAnsi"/>
          <w:sz w:val="24"/>
          <w:szCs w:val="24"/>
        </w:rPr>
        <w:t xml:space="preserve">, </w:t>
      </w:r>
      <w:r w:rsidR="002D56DE">
        <w:rPr>
          <w:rFonts w:cstheme="minorHAnsi"/>
          <w:sz w:val="24"/>
          <w:szCs w:val="24"/>
        </w:rPr>
        <w:t xml:space="preserve">o </w:t>
      </w:r>
      <w:r w:rsidR="00E439FC">
        <w:rPr>
          <w:rFonts w:cstheme="minorHAnsi"/>
          <w:sz w:val="24"/>
          <w:szCs w:val="24"/>
        </w:rPr>
        <w:t>M</w:t>
      </w:r>
      <w:r w:rsidR="002D56DE">
        <w:rPr>
          <w:rFonts w:cstheme="minorHAnsi"/>
          <w:sz w:val="24"/>
          <w:szCs w:val="24"/>
        </w:rPr>
        <w:t xml:space="preserve">unicípio de Itatiba </w:t>
      </w:r>
      <w:r w:rsidR="00AD295C">
        <w:rPr>
          <w:rFonts w:cstheme="minorHAnsi"/>
          <w:sz w:val="24"/>
          <w:szCs w:val="24"/>
        </w:rPr>
        <w:t>efetuará</w:t>
      </w:r>
      <w:r w:rsidR="00BA1DBF">
        <w:rPr>
          <w:rFonts w:cstheme="minorHAnsi"/>
          <w:sz w:val="24"/>
          <w:szCs w:val="24"/>
        </w:rPr>
        <w:t xml:space="preserve"> </w:t>
      </w:r>
      <w:r w:rsidR="00F26EA1">
        <w:rPr>
          <w:rFonts w:cstheme="minorHAnsi"/>
          <w:sz w:val="24"/>
          <w:szCs w:val="24"/>
        </w:rPr>
        <w:t>sua apreensão</w:t>
      </w:r>
      <w:r w:rsidR="00222DFF">
        <w:rPr>
          <w:rFonts w:cstheme="minorHAnsi"/>
          <w:sz w:val="24"/>
          <w:szCs w:val="24"/>
        </w:rPr>
        <w:t>.</w:t>
      </w:r>
    </w:p>
    <w:p w14:paraId="6FD9226C" w14:textId="77777777" w:rsidR="00CA1EF1" w:rsidRDefault="00CA1EF1" w:rsidP="00A17BF5">
      <w:pPr>
        <w:spacing w:after="120" w:line="240" w:lineRule="auto"/>
        <w:ind w:left="1134" w:right="567"/>
        <w:contextualSpacing/>
        <w:jc w:val="both"/>
        <w:rPr>
          <w:rFonts w:cstheme="minorHAnsi"/>
          <w:sz w:val="24"/>
          <w:szCs w:val="24"/>
        </w:rPr>
      </w:pPr>
    </w:p>
    <w:p w14:paraId="43CDC185" w14:textId="32BBCCB8" w:rsidR="00551F63" w:rsidRDefault="00A17BF5" w:rsidP="00A17BF5">
      <w:pPr>
        <w:spacing w:after="120" w:line="240" w:lineRule="auto"/>
        <w:ind w:left="1134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Parágrafo único -</w:t>
      </w:r>
      <w:r w:rsidR="00CA1EF1">
        <w:rPr>
          <w:rFonts w:cstheme="minorHAnsi"/>
          <w:sz w:val="24"/>
          <w:szCs w:val="24"/>
        </w:rPr>
        <w:t xml:space="preserve"> A liberação dos </w:t>
      </w:r>
      <w:r w:rsidR="00B652F2">
        <w:rPr>
          <w:rFonts w:cstheme="minorHAnsi"/>
          <w:sz w:val="24"/>
          <w:szCs w:val="24"/>
        </w:rPr>
        <w:t>objetos apreendidos ficará condicionada ao pagamento da multa prevista pelo artigo 2º desta Lei</w:t>
      </w:r>
      <w:r w:rsidR="00866230">
        <w:rPr>
          <w:rFonts w:cstheme="minorHAnsi"/>
          <w:sz w:val="24"/>
          <w:szCs w:val="24"/>
        </w:rPr>
        <w:t xml:space="preserve"> e à lavratura de termo no qual a entidade infratora declarará </w:t>
      </w:r>
      <w:r w:rsidR="00F86C80">
        <w:rPr>
          <w:rFonts w:cstheme="minorHAnsi"/>
          <w:sz w:val="24"/>
          <w:szCs w:val="24"/>
        </w:rPr>
        <w:t>que não utilizará o bem para a mesma ou semelhante finalidade.</w:t>
      </w:r>
    </w:p>
    <w:p w14:paraId="3459E0B3" w14:textId="77777777" w:rsidR="00551F63" w:rsidRPr="002D56DE" w:rsidRDefault="00551F63" w:rsidP="00A17BF5">
      <w:pPr>
        <w:spacing w:after="120" w:line="240" w:lineRule="auto"/>
        <w:ind w:left="1134" w:right="567"/>
        <w:contextualSpacing/>
        <w:jc w:val="both"/>
        <w:rPr>
          <w:rFonts w:cstheme="minorHAnsi"/>
          <w:sz w:val="24"/>
          <w:szCs w:val="24"/>
        </w:rPr>
      </w:pPr>
    </w:p>
    <w:p w14:paraId="2345E86F" w14:textId="4C57E123" w:rsidR="0064298F" w:rsidRPr="00556AE3" w:rsidRDefault="00B50D16" w:rsidP="00A17BF5">
      <w:pPr>
        <w:spacing w:after="120" w:line="240" w:lineRule="auto"/>
        <w:ind w:left="1134" w:right="567"/>
        <w:contextualSpacing/>
        <w:jc w:val="both"/>
        <w:rPr>
          <w:rFonts w:cstheme="minorHAnsi"/>
          <w:sz w:val="24"/>
          <w:szCs w:val="24"/>
        </w:rPr>
      </w:pPr>
      <w:r w:rsidRPr="00556AE3">
        <w:rPr>
          <w:rFonts w:cstheme="minorHAnsi"/>
          <w:b/>
          <w:bCs/>
          <w:sz w:val="24"/>
          <w:szCs w:val="24"/>
        </w:rPr>
        <w:t xml:space="preserve">Art. </w:t>
      </w:r>
      <w:r w:rsidR="00551F63">
        <w:rPr>
          <w:rFonts w:cstheme="minorHAnsi"/>
          <w:b/>
          <w:bCs/>
          <w:sz w:val="24"/>
          <w:szCs w:val="24"/>
        </w:rPr>
        <w:t>4</w:t>
      </w:r>
      <w:r w:rsidRPr="00556AE3">
        <w:rPr>
          <w:rFonts w:cstheme="minorHAnsi"/>
          <w:b/>
          <w:bCs/>
          <w:sz w:val="24"/>
          <w:szCs w:val="24"/>
        </w:rPr>
        <w:t>º</w:t>
      </w:r>
      <w:r w:rsidRPr="00556AE3">
        <w:rPr>
          <w:rFonts w:cstheme="minorHAnsi"/>
          <w:sz w:val="24"/>
          <w:szCs w:val="24"/>
        </w:rPr>
        <w:t xml:space="preserve"> </w:t>
      </w:r>
      <w:r w:rsidR="0064298F" w:rsidRPr="00556AE3">
        <w:rPr>
          <w:rFonts w:cstheme="minorHAnsi"/>
          <w:sz w:val="24"/>
          <w:szCs w:val="24"/>
        </w:rPr>
        <w:t xml:space="preserve">Esta </w:t>
      </w:r>
      <w:r w:rsidRPr="00556AE3">
        <w:rPr>
          <w:rFonts w:cstheme="minorHAnsi"/>
          <w:sz w:val="24"/>
          <w:szCs w:val="24"/>
        </w:rPr>
        <w:t>Lei</w:t>
      </w:r>
      <w:r w:rsidR="0064298F" w:rsidRPr="00556AE3">
        <w:rPr>
          <w:rFonts w:cstheme="minorHAnsi"/>
          <w:sz w:val="24"/>
          <w:szCs w:val="24"/>
        </w:rPr>
        <w:t xml:space="preserve"> entra em vigor na data de sua publicação.</w:t>
      </w:r>
    </w:p>
    <w:p w14:paraId="573F13FA" w14:textId="77777777" w:rsidR="00F86C80" w:rsidRPr="00556AE3" w:rsidRDefault="00F86C80" w:rsidP="009063D8">
      <w:pPr>
        <w:spacing w:after="120" w:line="240" w:lineRule="auto"/>
        <w:ind w:left="1134" w:right="567"/>
        <w:contextualSpacing/>
        <w:jc w:val="both"/>
        <w:rPr>
          <w:rFonts w:cstheme="minorHAnsi"/>
          <w:sz w:val="24"/>
          <w:szCs w:val="24"/>
        </w:rPr>
      </w:pPr>
    </w:p>
    <w:p w14:paraId="47E29B5B" w14:textId="6F9EDC24" w:rsidR="009063D8" w:rsidRPr="00556AE3" w:rsidRDefault="009063D8" w:rsidP="009063D8">
      <w:pPr>
        <w:spacing w:after="120" w:line="240" w:lineRule="auto"/>
        <w:ind w:right="567"/>
        <w:contextualSpacing/>
        <w:jc w:val="center"/>
        <w:rPr>
          <w:rFonts w:cstheme="minorHAnsi"/>
          <w:sz w:val="24"/>
          <w:szCs w:val="24"/>
        </w:rPr>
      </w:pPr>
      <w:r w:rsidRPr="009063D8">
        <w:rPr>
          <w:rFonts w:cstheme="minorHAnsi"/>
          <w:bCs/>
          <w:sz w:val="24"/>
          <w:szCs w:val="24"/>
        </w:rPr>
        <w:t>Itatiba</w:t>
      </w:r>
      <w:r>
        <w:rPr>
          <w:rFonts w:cstheme="minorHAnsi"/>
          <w:sz w:val="24"/>
          <w:szCs w:val="24"/>
        </w:rPr>
        <w:t>, 0</w:t>
      </w:r>
      <w:r w:rsidR="00A17BF5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de fevereiro de 2024.</w:t>
      </w:r>
    </w:p>
    <w:p w14:paraId="5B6ECDB2" w14:textId="77777777" w:rsidR="009063D8" w:rsidRDefault="009063D8" w:rsidP="009063D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438034" w14:textId="77777777" w:rsidR="00A17BF5" w:rsidRDefault="00A17BF5" w:rsidP="009063D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D3DDCC" w14:textId="77777777" w:rsidR="00F86C80" w:rsidRDefault="00F86C80" w:rsidP="009063D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5C6BF5" w14:textId="77777777" w:rsidR="009063D8" w:rsidRPr="00A17BF5" w:rsidRDefault="009063D8" w:rsidP="009063D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BF5">
        <w:rPr>
          <w:rFonts w:cstheme="minorHAnsi"/>
          <w:b/>
          <w:bCs/>
          <w:sz w:val="24"/>
          <w:szCs w:val="24"/>
        </w:rPr>
        <w:t>DAVID JOSÉ BUENO GOMES</w:t>
      </w:r>
    </w:p>
    <w:p w14:paraId="59849DEF" w14:textId="16256805" w:rsidR="000A647A" w:rsidRPr="00556AE3" w:rsidRDefault="009063D8" w:rsidP="00F86C8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6AE3">
        <w:rPr>
          <w:rFonts w:cstheme="minorHAnsi"/>
          <w:sz w:val="24"/>
          <w:szCs w:val="24"/>
        </w:rPr>
        <w:t>Presidente</w:t>
      </w:r>
    </w:p>
    <w:sectPr w:rsidR="000A647A" w:rsidRPr="00556AE3" w:rsidSect="0039730F">
      <w:pgSz w:w="11906" w:h="16838" w:code="9"/>
      <w:pgMar w:top="2552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55FB" w14:textId="77777777" w:rsidR="0039730F" w:rsidRDefault="0039730F" w:rsidP="00B7477B">
      <w:pPr>
        <w:spacing w:after="0" w:line="240" w:lineRule="auto"/>
      </w:pPr>
      <w:r>
        <w:separator/>
      </w:r>
    </w:p>
  </w:endnote>
  <w:endnote w:type="continuationSeparator" w:id="0">
    <w:p w14:paraId="5493B4E9" w14:textId="77777777" w:rsidR="0039730F" w:rsidRDefault="0039730F" w:rsidP="00B7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4F03" w14:textId="77777777" w:rsidR="0039730F" w:rsidRDefault="0039730F" w:rsidP="00B7477B">
      <w:pPr>
        <w:spacing w:after="0" w:line="240" w:lineRule="auto"/>
      </w:pPr>
      <w:r>
        <w:separator/>
      </w:r>
    </w:p>
  </w:footnote>
  <w:footnote w:type="continuationSeparator" w:id="0">
    <w:p w14:paraId="2B5483B8" w14:textId="77777777" w:rsidR="0039730F" w:rsidRDefault="0039730F" w:rsidP="00B74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E6D18"/>
    <w:multiLevelType w:val="hybridMultilevel"/>
    <w:tmpl w:val="044415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59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CC"/>
    <w:rsid w:val="000540B7"/>
    <w:rsid w:val="000668AE"/>
    <w:rsid w:val="000A647A"/>
    <w:rsid w:val="000C0A07"/>
    <w:rsid w:val="000E5C5A"/>
    <w:rsid w:val="00113971"/>
    <w:rsid w:val="00134101"/>
    <w:rsid w:val="00134CAA"/>
    <w:rsid w:val="001466C6"/>
    <w:rsid w:val="00156818"/>
    <w:rsid w:val="00165156"/>
    <w:rsid w:val="0017775E"/>
    <w:rsid w:val="001A75E4"/>
    <w:rsid w:val="001B5142"/>
    <w:rsid w:val="001E3208"/>
    <w:rsid w:val="00222DFF"/>
    <w:rsid w:val="00293534"/>
    <w:rsid w:val="00297CF1"/>
    <w:rsid w:val="002A613C"/>
    <w:rsid w:val="002B1D3B"/>
    <w:rsid w:val="002B3A2A"/>
    <w:rsid w:val="002D56DE"/>
    <w:rsid w:val="00317FAC"/>
    <w:rsid w:val="00320F0F"/>
    <w:rsid w:val="003447EC"/>
    <w:rsid w:val="00344E76"/>
    <w:rsid w:val="00356B0B"/>
    <w:rsid w:val="00381E78"/>
    <w:rsid w:val="00387C90"/>
    <w:rsid w:val="0039730F"/>
    <w:rsid w:val="003A5292"/>
    <w:rsid w:val="003D1CC2"/>
    <w:rsid w:val="003D47CC"/>
    <w:rsid w:val="004848A6"/>
    <w:rsid w:val="004A2086"/>
    <w:rsid w:val="004D164A"/>
    <w:rsid w:val="004E5AB0"/>
    <w:rsid w:val="004F0D82"/>
    <w:rsid w:val="00513D9A"/>
    <w:rsid w:val="00543CF3"/>
    <w:rsid w:val="00547916"/>
    <w:rsid w:val="00551F63"/>
    <w:rsid w:val="00556AE3"/>
    <w:rsid w:val="005A437A"/>
    <w:rsid w:val="005A4C30"/>
    <w:rsid w:val="005B366C"/>
    <w:rsid w:val="005C1E92"/>
    <w:rsid w:val="005E547E"/>
    <w:rsid w:val="006003F1"/>
    <w:rsid w:val="00600AFC"/>
    <w:rsid w:val="006057CC"/>
    <w:rsid w:val="00614178"/>
    <w:rsid w:val="0063337F"/>
    <w:rsid w:val="0064298F"/>
    <w:rsid w:val="00661468"/>
    <w:rsid w:val="0069666A"/>
    <w:rsid w:val="006D1DFB"/>
    <w:rsid w:val="006E5358"/>
    <w:rsid w:val="006E535A"/>
    <w:rsid w:val="007009BE"/>
    <w:rsid w:val="007210A9"/>
    <w:rsid w:val="0072606F"/>
    <w:rsid w:val="007311ED"/>
    <w:rsid w:val="0076108A"/>
    <w:rsid w:val="007A5574"/>
    <w:rsid w:val="007C7925"/>
    <w:rsid w:val="007E6AB1"/>
    <w:rsid w:val="007F20C7"/>
    <w:rsid w:val="00803040"/>
    <w:rsid w:val="008040E1"/>
    <w:rsid w:val="008102D9"/>
    <w:rsid w:val="00817A78"/>
    <w:rsid w:val="00854FE9"/>
    <w:rsid w:val="00866230"/>
    <w:rsid w:val="008758DD"/>
    <w:rsid w:val="00884141"/>
    <w:rsid w:val="008B4857"/>
    <w:rsid w:val="008D5BB9"/>
    <w:rsid w:val="008E42E4"/>
    <w:rsid w:val="008F5187"/>
    <w:rsid w:val="009033FA"/>
    <w:rsid w:val="009063D8"/>
    <w:rsid w:val="00932165"/>
    <w:rsid w:val="009A16AB"/>
    <w:rsid w:val="009A7886"/>
    <w:rsid w:val="009C2E57"/>
    <w:rsid w:val="009D0E64"/>
    <w:rsid w:val="00A17BF5"/>
    <w:rsid w:val="00A25708"/>
    <w:rsid w:val="00A3120D"/>
    <w:rsid w:val="00A328CB"/>
    <w:rsid w:val="00A34A64"/>
    <w:rsid w:val="00A6196A"/>
    <w:rsid w:val="00A7426D"/>
    <w:rsid w:val="00A7549B"/>
    <w:rsid w:val="00A971C5"/>
    <w:rsid w:val="00AC6272"/>
    <w:rsid w:val="00AD295C"/>
    <w:rsid w:val="00AE0C5D"/>
    <w:rsid w:val="00AF082E"/>
    <w:rsid w:val="00AF76D0"/>
    <w:rsid w:val="00B02574"/>
    <w:rsid w:val="00B106BC"/>
    <w:rsid w:val="00B20E7B"/>
    <w:rsid w:val="00B50D16"/>
    <w:rsid w:val="00B652F2"/>
    <w:rsid w:val="00B7477B"/>
    <w:rsid w:val="00B868E5"/>
    <w:rsid w:val="00BA1DBF"/>
    <w:rsid w:val="00BE2E0B"/>
    <w:rsid w:val="00C20694"/>
    <w:rsid w:val="00CA1EF1"/>
    <w:rsid w:val="00CC632A"/>
    <w:rsid w:val="00CE4C60"/>
    <w:rsid w:val="00CF68F7"/>
    <w:rsid w:val="00D0463F"/>
    <w:rsid w:val="00D20C2D"/>
    <w:rsid w:val="00D25256"/>
    <w:rsid w:val="00DB011F"/>
    <w:rsid w:val="00DB6F40"/>
    <w:rsid w:val="00DD1F2B"/>
    <w:rsid w:val="00E07B63"/>
    <w:rsid w:val="00E439FC"/>
    <w:rsid w:val="00E466AF"/>
    <w:rsid w:val="00E47DB6"/>
    <w:rsid w:val="00E529DB"/>
    <w:rsid w:val="00E6540F"/>
    <w:rsid w:val="00E73434"/>
    <w:rsid w:val="00E737AE"/>
    <w:rsid w:val="00E76E0A"/>
    <w:rsid w:val="00E81117"/>
    <w:rsid w:val="00EA36C2"/>
    <w:rsid w:val="00ED5000"/>
    <w:rsid w:val="00F15925"/>
    <w:rsid w:val="00F21AF2"/>
    <w:rsid w:val="00F26EA1"/>
    <w:rsid w:val="00F655B8"/>
    <w:rsid w:val="00F86C80"/>
    <w:rsid w:val="00F871FC"/>
    <w:rsid w:val="00FD6DA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AFF3"/>
  <w15:docId w15:val="{6659A845-CB82-4A00-BAF3-996CAA46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D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6429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298F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64298F"/>
    <w:pPr>
      <w:spacing w:after="0" w:line="240" w:lineRule="auto"/>
    </w:pPr>
  </w:style>
  <w:style w:type="character" w:styleId="Refdenotaderodap">
    <w:name w:val="footnote reference"/>
    <w:basedOn w:val="Fontepargpadro"/>
    <w:uiPriority w:val="99"/>
    <w:semiHidden/>
    <w:unhideWhenUsed/>
    <w:rsid w:val="00B7477B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477B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477B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747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Bruno Pires de Camargo</cp:lastModifiedBy>
  <cp:revision>7</cp:revision>
  <cp:lastPrinted>2024-02-05T19:01:00Z</cp:lastPrinted>
  <dcterms:created xsi:type="dcterms:W3CDTF">2024-02-05T18:56:00Z</dcterms:created>
  <dcterms:modified xsi:type="dcterms:W3CDTF">2024-02-20T11:23:00Z</dcterms:modified>
</cp:coreProperties>
</file>