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1BA0" w14:textId="77777777" w:rsidR="00AE2172" w:rsidRDefault="00AE2172" w:rsidP="00AE2172">
      <w:pPr>
        <w:jc w:val="center"/>
        <w:rPr>
          <w:b/>
          <w:sz w:val="26"/>
          <w:szCs w:val="26"/>
          <w:u w:val="single"/>
        </w:rPr>
      </w:pPr>
    </w:p>
    <w:p w14:paraId="01579422" w14:textId="77777777" w:rsidR="00AE2172" w:rsidRDefault="00AE2172" w:rsidP="00AE2172">
      <w:pPr>
        <w:jc w:val="center"/>
        <w:rPr>
          <w:b/>
          <w:sz w:val="26"/>
          <w:szCs w:val="26"/>
          <w:u w:val="single"/>
        </w:rPr>
      </w:pPr>
    </w:p>
    <w:p w14:paraId="17DA8903" w14:textId="77777777" w:rsidR="00AE2172" w:rsidRDefault="00AE2172" w:rsidP="00AE2172">
      <w:pPr>
        <w:jc w:val="center"/>
        <w:rPr>
          <w:b/>
          <w:sz w:val="26"/>
          <w:szCs w:val="26"/>
          <w:u w:val="single"/>
        </w:rPr>
      </w:pPr>
    </w:p>
    <w:p w14:paraId="35C6F575" w14:textId="39F02747" w:rsidR="00AE2172" w:rsidRPr="00385186" w:rsidRDefault="00000000" w:rsidP="00AE2172">
      <w:pPr>
        <w:jc w:val="center"/>
        <w:rPr>
          <w:b/>
          <w:sz w:val="26"/>
          <w:szCs w:val="26"/>
          <w:u w:val="single"/>
        </w:rPr>
      </w:pPr>
      <w:r w:rsidRPr="00385186">
        <w:rPr>
          <w:b/>
          <w:sz w:val="26"/>
          <w:szCs w:val="26"/>
          <w:u w:val="single"/>
        </w:rPr>
        <w:t>PROJETO DE LEI ORDINÁRIA Nº</w:t>
      </w:r>
      <w:r>
        <w:rPr>
          <w:b/>
          <w:sz w:val="26"/>
          <w:szCs w:val="26"/>
          <w:u w:val="single"/>
        </w:rPr>
        <w:t xml:space="preserve"> </w:t>
      </w:r>
      <w:r w:rsidR="001E7FCE"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</w:rPr>
        <w:t>/2024</w:t>
      </w:r>
    </w:p>
    <w:p w14:paraId="2CC365C8" w14:textId="77777777" w:rsidR="00AE2172" w:rsidRPr="00385186" w:rsidRDefault="00AE2172" w:rsidP="00AE2172">
      <w:pPr>
        <w:jc w:val="center"/>
        <w:rPr>
          <w:b/>
          <w:sz w:val="24"/>
          <w:u w:val="single"/>
        </w:rPr>
      </w:pPr>
    </w:p>
    <w:p w14:paraId="5F246466" w14:textId="77777777" w:rsidR="00AE2172" w:rsidRPr="00AE2172" w:rsidRDefault="00AE2172" w:rsidP="00AE2172">
      <w:pPr>
        <w:ind w:left="3540" w:right="140"/>
        <w:jc w:val="both"/>
        <w:rPr>
          <w:sz w:val="22"/>
        </w:rPr>
      </w:pPr>
    </w:p>
    <w:p w14:paraId="122C867B" w14:textId="77777777" w:rsidR="00AE2172" w:rsidRPr="00AE2172" w:rsidRDefault="00000000" w:rsidP="00AE2172">
      <w:pPr>
        <w:ind w:left="2832" w:right="140"/>
        <w:jc w:val="both"/>
        <w:rPr>
          <w:sz w:val="25"/>
          <w:szCs w:val="25"/>
        </w:rPr>
      </w:pPr>
      <w:r w:rsidRPr="00AE2172">
        <w:rPr>
          <w:sz w:val="25"/>
          <w:szCs w:val="25"/>
        </w:rPr>
        <w:t>Dispõe sobre a obrigatoriedade dos estabelecimentos comerciais que realizam arrecadação de doações financeiras através da modalidade “Troco Solidário” e/ou campanhas similares</w:t>
      </w:r>
      <w:r w:rsidR="008C1A08">
        <w:rPr>
          <w:sz w:val="25"/>
          <w:szCs w:val="25"/>
        </w:rPr>
        <w:t>,</w:t>
      </w:r>
      <w:r w:rsidRPr="00AE2172">
        <w:rPr>
          <w:sz w:val="25"/>
          <w:szCs w:val="25"/>
        </w:rPr>
        <w:t xml:space="preserve"> prestarem informações ao público.</w:t>
      </w:r>
    </w:p>
    <w:p w14:paraId="512FE5F6" w14:textId="77777777" w:rsidR="00AE2172" w:rsidRPr="00AE2172" w:rsidRDefault="00AE2172" w:rsidP="00AE2172">
      <w:pPr>
        <w:ind w:left="3540" w:right="140"/>
        <w:jc w:val="both"/>
        <w:rPr>
          <w:rFonts w:ascii="Verdana" w:hAnsi="Verdana"/>
          <w:sz w:val="25"/>
          <w:szCs w:val="25"/>
        </w:rPr>
      </w:pPr>
    </w:p>
    <w:p w14:paraId="359600EF" w14:textId="77777777" w:rsidR="00AE2172" w:rsidRPr="00AE2172" w:rsidRDefault="00AE2172" w:rsidP="00AE2172">
      <w:pPr>
        <w:ind w:left="3540"/>
        <w:jc w:val="both"/>
        <w:rPr>
          <w:rFonts w:ascii="Verdana" w:hAnsi="Verdana"/>
          <w:sz w:val="25"/>
          <w:szCs w:val="25"/>
        </w:rPr>
      </w:pPr>
    </w:p>
    <w:p w14:paraId="56AEA03F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sz w:val="25"/>
          <w:szCs w:val="25"/>
        </w:rPr>
        <w:t>A Câmara Municipal de Itatiba aprova:</w:t>
      </w:r>
    </w:p>
    <w:p w14:paraId="04467F69" w14:textId="77777777" w:rsidR="00AE2172" w:rsidRPr="00AE2172" w:rsidRDefault="00AE2172" w:rsidP="00AE2172">
      <w:pPr>
        <w:ind w:firstLine="1701"/>
        <w:jc w:val="both"/>
        <w:rPr>
          <w:sz w:val="25"/>
          <w:szCs w:val="25"/>
        </w:rPr>
      </w:pPr>
    </w:p>
    <w:p w14:paraId="1F928F8D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b/>
          <w:sz w:val="25"/>
          <w:szCs w:val="25"/>
        </w:rPr>
        <w:t>Art. 1º</w:t>
      </w:r>
      <w:r w:rsidRPr="00AE2172">
        <w:rPr>
          <w:sz w:val="25"/>
          <w:szCs w:val="25"/>
        </w:rPr>
        <w:t xml:space="preserve"> Os estabelecimentos comerciais que realizam arrecadação de doações financeiras para entidades filantrópicas e afins através da modalidade “Troco Solidário” e/ou campanhas similares deverão informar ao público a entidade beneficiada no mês, além do valor total arrecadado no mês anterior e a entidade agraciada.</w:t>
      </w:r>
    </w:p>
    <w:p w14:paraId="5499D4BC" w14:textId="77777777" w:rsidR="00AE2172" w:rsidRPr="00AE2172" w:rsidRDefault="00AE2172" w:rsidP="00AE2172">
      <w:pPr>
        <w:ind w:firstLine="1701"/>
        <w:jc w:val="both"/>
        <w:rPr>
          <w:sz w:val="25"/>
          <w:szCs w:val="25"/>
        </w:rPr>
      </w:pPr>
    </w:p>
    <w:p w14:paraId="2C831933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b/>
          <w:sz w:val="25"/>
          <w:szCs w:val="25"/>
        </w:rPr>
        <w:t>Parágrafo único</w:t>
      </w:r>
      <w:r w:rsidRPr="00AE2172">
        <w:rPr>
          <w:sz w:val="25"/>
          <w:szCs w:val="25"/>
        </w:rPr>
        <w:t>. Quando houver mais de uma entidade beneficiada no mês anterior deverá ser especificado o montante financeiro destinado para cada uma.</w:t>
      </w:r>
    </w:p>
    <w:p w14:paraId="3C6A7865" w14:textId="77777777" w:rsidR="00AE2172" w:rsidRPr="00AE2172" w:rsidRDefault="00AE2172" w:rsidP="00AE2172">
      <w:pPr>
        <w:ind w:firstLine="1701"/>
        <w:jc w:val="both"/>
        <w:rPr>
          <w:sz w:val="25"/>
          <w:szCs w:val="25"/>
        </w:rPr>
      </w:pPr>
    </w:p>
    <w:p w14:paraId="5B997D60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b/>
          <w:sz w:val="25"/>
          <w:szCs w:val="25"/>
        </w:rPr>
        <w:t>Art. 2º</w:t>
      </w:r>
      <w:r w:rsidRPr="00AE2172">
        <w:rPr>
          <w:sz w:val="25"/>
          <w:szCs w:val="25"/>
        </w:rPr>
        <w:t xml:space="preserve"> As informações dispostas no caput do art. 1º e seu parágrafo único, deverão constar em todo e qualquer material de divulgação do “Troco Solidário” e/ou campanha similar.</w:t>
      </w:r>
    </w:p>
    <w:p w14:paraId="2A6BBF0B" w14:textId="77777777" w:rsidR="00AE2172" w:rsidRPr="00AE2172" w:rsidRDefault="00AE2172" w:rsidP="00AE2172">
      <w:pPr>
        <w:ind w:firstLine="1701"/>
        <w:jc w:val="both"/>
        <w:rPr>
          <w:sz w:val="25"/>
          <w:szCs w:val="25"/>
        </w:rPr>
      </w:pPr>
    </w:p>
    <w:p w14:paraId="028CC372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b/>
          <w:sz w:val="25"/>
          <w:szCs w:val="25"/>
        </w:rPr>
        <w:t>§ 1º</w:t>
      </w:r>
      <w:r w:rsidRPr="00AE2172">
        <w:rPr>
          <w:sz w:val="25"/>
          <w:szCs w:val="25"/>
        </w:rPr>
        <w:t xml:space="preserve"> Considera-se material de divulgação do “Troco Solidário” e/ou campanha similar para fins do disposto nesta Lei: banners, cartazes, panfletos inform</w:t>
      </w:r>
      <w:r>
        <w:rPr>
          <w:sz w:val="25"/>
          <w:szCs w:val="25"/>
        </w:rPr>
        <w:t>ativos, periódicos, folders, flye</w:t>
      </w:r>
      <w:r w:rsidRPr="00AE2172">
        <w:rPr>
          <w:sz w:val="25"/>
          <w:szCs w:val="25"/>
        </w:rPr>
        <w:t>rs, papéis e placas que façam referência à modalidade de arrecadação de doações financeiras.</w:t>
      </w:r>
    </w:p>
    <w:p w14:paraId="6D329399" w14:textId="77777777" w:rsidR="00AE2172" w:rsidRPr="00AE2172" w:rsidRDefault="00AE2172" w:rsidP="00AE2172">
      <w:pPr>
        <w:ind w:firstLine="1701"/>
        <w:jc w:val="both"/>
        <w:rPr>
          <w:sz w:val="25"/>
          <w:szCs w:val="25"/>
        </w:rPr>
      </w:pPr>
    </w:p>
    <w:p w14:paraId="485554B6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b/>
          <w:sz w:val="25"/>
          <w:szCs w:val="25"/>
        </w:rPr>
        <w:t>§ 2º</w:t>
      </w:r>
      <w:r w:rsidRPr="00AE2172">
        <w:rPr>
          <w:sz w:val="25"/>
          <w:szCs w:val="25"/>
        </w:rPr>
        <w:t xml:space="preserve"> Os estabelecimentos comerciais que não produzirem material de divulgação do “Troco Solidário” e/ou campanha similar deverão afixar aviso em local de fácil visualização contendo o que dispõe o caput do art. 1º e seu parágrafo único.</w:t>
      </w:r>
    </w:p>
    <w:p w14:paraId="0C9FABE7" w14:textId="77777777" w:rsidR="00AE2172" w:rsidRPr="00AE2172" w:rsidRDefault="00AE2172" w:rsidP="00AE2172">
      <w:pPr>
        <w:ind w:firstLine="1701"/>
        <w:jc w:val="both"/>
        <w:rPr>
          <w:sz w:val="25"/>
          <w:szCs w:val="25"/>
        </w:rPr>
      </w:pPr>
    </w:p>
    <w:p w14:paraId="649271F7" w14:textId="77777777" w:rsidR="00AE2172" w:rsidRPr="00AE2172" w:rsidRDefault="00000000" w:rsidP="00AE2172">
      <w:pPr>
        <w:ind w:firstLine="1701"/>
        <w:jc w:val="both"/>
        <w:rPr>
          <w:sz w:val="25"/>
          <w:szCs w:val="25"/>
        </w:rPr>
      </w:pPr>
      <w:r w:rsidRPr="00AE2172">
        <w:rPr>
          <w:sz w:val="25"/>
          <w:szCs w:val="25"/>
        </w:rPr>
        <w:t>Art. 3º Esta Lei entra em vigor 30 (trinta) dias após a sua publicação.</w:t>
      </w:r>
    </w:p>
    <w:p w14:paraId="612B01A5" w14:textId="77777777" w:rsidR="00AE2172" w:rsidRPr="00AE2172" w:rsidRDefault="00AE2172" w:rsidP="00AE2172">
      <w:pPr>
        <w:jc w:val="both"/>
        <w:rPr>
          <w:rFonts w:ascii="Verdana" w:hAnsi="Verdana"/>
          <w:sz w:val="25"/>
          <w:szCs w:val="25"/>
        </w:rPr>
      </w:pPr>
    </w:p>
    <w:p w14:paraId="49EB0CE1" w14:textId="77777777" w:rsidR="00AE2172" w:rsidRPr="00AE2172" w:rsidRDefault="00AE2172" w:rsidP="00AE2172">
      <w:pPr>
        <w:ind w:left="-1134" w:firstLine="567"/>
        <w:jc w:val="both"/>
        <w:rPr>
          <w:rFonts w:ascii="Verdana" w:hAnsi="Verdana"/>
          <w:sz w:val="25"/>
          <w:szCs w:val="25"/>
        </w:rPr>
      </w:pPr>
    </w:p>
    <w:p w14:paraId="5959E9D4" w14:textId="77777777" w:rsidR="00AE2172" w:rsidRPr="00AE2172" w:rsidRDefault="00000000" w:rsidP="00AE2172">
      <w:pPr>
        <w:ind w:left="-1134" w:firstLine="567"/>
        <w:jc w:val="right"/>
        <w:rPr>
          <w:sz w:val="25"/>
          <w:szCs w:val="25"/>
        </w:rPr>
      </w:pPr>
      <w:r w:rsidRPr="00AE2172">
        <w:rPr>
          <w:sz w:val="25"/>
          <w:szCs w:val="25"/>
        </w:rPr>
        <w:t>Sala das Sessões,</w:t>
      </w:r>
      <w:r>
        <w:rPr>
          <w:sz w:val="25"/>
          <w:szCs w:val="25"/>
        </w:rPr>
        <w:t xml:space="preserve"> 15 de fevereiro de 2024</w:t>
      </w:r>
      <w:r w:rsidRPr="00AE2172">
        <w:rPr>
          <w:sz w:val="25"/>
          <w:szCs w:val="25"/>
        </w:rPr>
        <w:t>.</w:t>
      </w:r>
    </w:p>
    <w:p w14:paraId="696C5EE7" w14:textId="77777777" w:rsidR="00AE2172" w:rsidRPr="00AE2172" w:rsidRDefault="00AE2172" w:rsidP="00AE2172">
      <w:pPr>
        <w:ind w:left="-1134" w:firstLine="567"/>
        <w:jc w:val="center"/>
        <w:rPr>
          <w:b/>
          <w:sz w:val="32"/>
          <w:szCs w:val="25"/>
          <w:u w:val="single"/>
        </w:rPr>
      </w:pPr>
    </w:p>
    <w:p w14:paraId="7D81AB8A" w14:textId="77777777" w:rsidR="00AE2172" w:rsidRDefault="00AE2172" w:rsidP="00AE2172">
      <w:pPr>
        <w:ind w:hanging="567"/>
        <w:jc w:val="center"/>
        <w:rPr>
          <w:b/>
          <w:sz w:val="32"/>
          <w:szCs w:val="25"/>
          <w:u w:val="single"/>
        </w:rPr>
      </w:pPr>
    </w:p>
    <w:p w14:paraId="729ED55A" w14:textId="77777777" w:rsidR="00AE2172" w:rsidRDefault="00AE2172" w:rsidP="00AE2172">
      <w:pPr>
        <w:ind w:hanging="567"/>
        <w:jc w:val="center"/>
        <w:rPr>
          <w:b/>
          <w:sz w:val="32"/>
          <w:szCs w:val="25"/>
          <w:u w:val="single"/>
        </w:rPr>
      </w:pPr>
    </w:p>
    <w:p w14:paraId="526BC03A" w14:textId="77777777" w:rsidR="00AE2172" w:rsidRPr="00AE2172" w:rsidRDefault="00000000" w:rsidP="00AE2172">
      <w:pPr>
        <w:ind w:hanging="567"/>
        <w:jc w:val="center"/>
        <w:rPr>
          <w:b/>
          <w:sz w:val="32"/>
          <w:szCs w:val="25"/>
          <w:u w:val="single"/>
        </w:rPr>
      </w:pPr>
      <w:r w:rsidRPr="00AE2172">
        <w:rPr>
          <w:b/>
          <w:sz w:val="32"/>
          <w:szCs w:val="25"/>
          <w:u w:val="single"/>
        </w:rPr>
        <w:t>Willian Soares</w:t>
      </w:r>
    </w:p>
    <w:p w14:paraId="0ABA4585" w14:textId="77777777" w:rsidR="00AE2172" w:rsidRPr="00AE2172" w:rsidRDefault="00000000" w:rsidP="00AE2172">
      <w:pPr>
        <w:ind w:hanging="567"/>
        <w:jc w:val="center"/>
        <w:rPr>
          <w:sz w:val="25"/>
          <w:szCs w:val="25"/>
        </w:rPr>
      </w:pPr>
      <w:r>
        <w:rPr>
          <w:sz w:val="25"/>
          <w:szCs w:val="25"/>
        </w:rPr>
        <w:t>Vereador - SD</w:t>
      </w:r>
    </w:p>
    <w:p w14:paraId="2709A7A1" w14:textId="77777777" w:rsidR="00A12C93" w:rsidRDefault="00A12C93" w:rsidP="00A12C93">
      <w:pPr>
        <w:ind w:right="140"/>
        <w:jc w:val="both"/>
        <w:rPr>
          <w:sz w:val="25"/>
          <w:szCs w:val="25"/>
        </w:rPr>
      </w:pPr>
    </w:p>
    <w:p w14:paraId="38709AB0" w14:textId="77777777" w:rsidR="00A12C93" w:rsidRDefault="00A12C93" w:rsidP="00A12C93">
      <w:pPr>
        <w:ind w:right="140"/>
        <w:jc w:val="both"/>
        <w:rPr>
          <w:sz w:val="25"/>
          <w:szCs w:val="25"/>
        </w:rPr>
      </w:pPr>
    </w:p>
    <w:p w14:paraId="52EB2B8D" w14:textId="77777777" w:rsidR="00A12C93" w:rsidRDefault="00A12C93" w:rsidP="00A12C93">
      <w:pPr>
        <w:ind w:right="140"/>
        <w:jc w:val="both"/>
        <w:rPr>
          <w:b/>
          <w:sz w:val="25"/>
          <w:szCs w:val="25"/>
        </w:rPr>
      </w:pPr>
    </w:p>
    <w:p w14:paraId="22F2A35B" w14:textId="77777777" w:rsidR="00B858BC" w:rsidRPr="00A12C93" w:rsidRDefault="00B858BC" w:rsidP="00A12C93">
      <w:pPr>
        <w:ind w:right="140"/>
        <w:jc w:val="both"/>
        <w:rPr>
          <w:b/>
          <w:sz w:val="25"/>
          <w:szCs w:val="25"/>
        </w:rPr>
      </w:pPr>
    </w:p>
    <w:p w14:paraId="51719972" w14:textId="7320B6C4" w:rsidR="00A12C93" w:rsidRPr="00A12C93" w:rsidRDefault="00000000" w:rsidP="00A12C93">
      <w:pPr>
        <w:ind w:right="140"/>
        <w:jc w:val="both"/>
        <w:rPr>
          <w:sz w:val="25"/>
          <w:szCs w:val="25"/>
        </w:rPr>
      </w:pPr>
      <w:r w:rsidRPr="00A12C93">
        <w:rPr>
          <w:b/>
          <w:szCs w:val="25"/>
        </w:rPr>
        <w:t>Projeto de Lei Nº</w:t>
      </w:r>
      <w:r w:rsidR="001E7FCE">
        <w:rPr>
          <w:b/>
          <w:szCs w:val="25"/>
        </w:rPr>
        <w:t xml:space="preserve"> 10</w:t>
      </w:r>
      <w:r w:rsidRPr="00A12C93">
        <w:rPr>
          <w:b/>
          <w:sz w:val="25"/>
          <w:szCs w:val="25"/>
        </w:rPr>
        <w:t>/2024</w:t>
      </w:r>
      <w:r>
        <w:rPr>
          <w:sz w:val="25"/>
          <w:szCs w:val="25"/>
        </w:rPr>
        <w:t xml:space="preserve"> que </w:t>
      </w:r>
      <w:r w:rsidRPr="00A12C93">
        <w:rPr>
          <w:sz w:val="25"/>
          <w:szCs w:val="25"/>
        </w:rPr>
        <w:t>Dispõe sobre a obrigatoriedade dos estabelecimentos comerciais que realizam arrecadação de doações financeiras através da modalidade “Troco Solidário” e/ou campanhas similares prestarem informações ao público.</w:t>
      </w:r>
    </w:p>
    <w:p w14:paraId="0E189DE2" w14:textId="77777777" w:rsidR="002C0D81" w:rsidRDefault="002C0D81">
      <w:pPr>
        <w:rPr>
          <w:sz w:val="25"/>
          <w:szCs w:val="25"/>
        </w:rPr>
      </w:pPr>
    </w:p>
    <w:p w14:paraId="616D970E" w14:textId="77777777" w:rsidR="00166511" w:rsidRDefault="00166511" w:rsidP="00AE2172">
      <w:pPr>
        <w:ind w:hanging="567"/>
        <w:jc w:val="center"/>
        <w:rPr>
          <w:b/>
          <w:sz w:val="25"/>
          <w:szCs w:val="25"/>
        </w:rPr>
      </w:pPr>
    </w:p>
    <w:p w14:paraId="4448D784" w14:textId="77777777" w:rsidR="00AE2172" w:rsidRPr="00FA3352" w:rsidRDefault="00000000" w:rsidP="00AE2172">
      <w:pPr>
        <w:ind w:hanging="567"/>
        <w:jc w:val="center"/>
        <w:rPr>
          <w:b/>
          <w:sz w:val="25"/>
          <w:szCs w:val="25"/>
        </w:rPr>
      </w:pPr>
      <w:r w:rsidRPr="00FA3352">
        <w:rPr>
          <w:b/>
          <w:sz w:val="25"/>
          <w:szCs w:val="25"/>
        </w:rPr>
        <w:t>JUSTIFICATIVA</w:t>
      </w:r>
    </w:p>
    <w:p w14:paraId="3980BE37" w14:textId="77777777" w:rsidR="00AE2172" w:rsidRDefault="00AE2172" w:rsidP="00AE2172">
      <w:pPr>
        <w:ind w:hanging="567"/>
        <w:jc w:val="center"/>
        <w:rPr>
          <w:sz w:val="25"/>
          <w:szCs w:val="25"/>
        </w:rPr>
      </w:pPr>
    </w:p>
    <w:p w14:paraId="1B0E26F7" w14:textId="77777777" w:rsidR="00AE2172" w:rsidRDefault="00AE2172" w:rsidP="00AE2172">
      <w:pPr>
        <w:ind w:hanging="567"/>
        <w:jc w:val="center"/>
        <w:rPr>
          <w:sz w:val="25"/>
          <w:szCs w:val="25"/>
        </w:rPr>
      </w:pPr>
    </w:p>
    <w:p w14:paraId="08F98330" w14:textId="77777777" w:rsidR="00AE2172" w:rsidRPr="0022466F" w:rsidRDefault="00000000" w:rsidP="00AE2172">
      <w:pPr>
        <w:spacing w:line="360" w:lineRule="auto"/>
        <w:jc w:val="both"/>
        <w:rPr>
          <w:sz w:val="24"/>
        </w:rPr>
      </w:pPr>
      <w:r>
        <w:rPr>
          <w:sz w:val="24"/>
        </w:rPr>
        <w:t>Senhores Vereadores:</w:t>
      </w:r>
    </w:p>
    <w:p w14:paraId="672A776A" w14:textId="77777777" w:rsidR="00AE2172" w:rsidRPr="00FA3352" w:rsidRDefault="00AE2172" w:rsidP="00AE2172">
      <w:pPr>
        <w:ind w:hanging="567"/>
        <w:jc w:val="center"/>
        <w:rPr>
          <w:sz w:val="25"/>
          <w:szCs w:val="25"/>
        </w:rPr>
      </w:pPr>
    </w:p>
    <w:p w14:paraId="63341970" w14:textId="77777777" w:rsidR="00AE2172" w:rsidRDefault="00000000" w:rsidP="00A12C93">
      <w:pPr>
        <w:spacing w:line="276" w:lineRule="auto"/>
        <w:ind w:firstLine="1701"/>
        <w:jc w:val="both"/>
        <w:rPr>
          <w:sz w:val="25"/>
          <w:szCs w:val="25"/>
        </w:rPr>
      </w:pPr>
      <w:r w:rsidRPr="00FA3352">
        <w:rPr>
          <w:sz w:val="25"/>
          <w:szCs w:val="25"/>
        </w:rPr>
        <w:t>Tem sido comum observarmos estabelecimentos que realizam campanhas para arrecadação de recursos no molde "Troco solidário"</w:t>
      </w:r>
      <w:r>
        <w:rPr>
          <w:sz w:val="25"/>
          <w:szCs w:val="25"/>
        </w:rPr>
        <w:t xml:space="preserve"> </w:t>
      </w:r>
      <w:r w:rsidRPr="00FA3352">
        <w:rPr>
          <w:sz w:val="25"/>
          <w:szCs w:val="25"/>
        </w:rPr>
        <w:t>e/ou campanha similar, sendo de extrema importância que estas tenham sucesso, se apresentando como uma forma de ajuda de extrema importância para as instituições filantrópicas de nosso município que</w:t>
      </w:r>
      <w:r w:rsidR="00A12C93">
        <w:rPr>
          <w:sz w:val="25"/>
          <w:szCs w:val="25"/>
        </w:rPr>
        <w:t xml:space="preserve"> tanto necessitam desse aporte.</w:t>
      </w:r>
    </w:p>
    <w:p w14:paraId="60C0C829" w14:textId="77777777" w:rsidR="00A12C93" w:rsidRPr="00FA3352" w:rsidRDefault="00A12C93" w:rsidP="00A12C93">
      <w:pPr>
        <w:spacing w:line="276" w:lineRule="auto"/>
        <w:ind w:firstLine="1701"/>
        <w:jc w:val="both"/>
        <w:rPr>
          <w:sz w:val="25"/>
          <w:szCs w:val="25"/>
        </w:rPr>
      </w:pPr>
    </w:p>
    <w:p w14:paraId="5ECBAB01" w14:textId="77777777" w:rsidR="00AE2172" w:rsidRPr="00FA3352" w:rsidRDefault="00000000" w:rsidP="00A12C93">
      <w:pPr>
        <w:spacing w:line="276" w:lineRule="auto"/>
        <w:ind w:firstLine="1701"/>
        <w:jc w:val="both"/>
        <w:rPr>
          <w:sz w:val="25"/>
          <w:szCs w:val="25"/>
        </w:rPr>
      </w:pPr>
      <w:r w:rsidRPr="00FA3352">
        <w:rPr>
          <w:sz w:val="25"/>
          <w:szCs w:val="25"/>
        </w:rPr>
        <w:t>Porém é necessário estabelecer uma regra clara quanto ao direito de informação do cliente sobre o montante arrecadado e quai</w:t>
      </w:r>
      <w:r w:rsidR="00A12C93">
        <w:rPr>
          <w:sz w:val="25"/>
          <w:szCs w:val="25"/>
        </w:rPr>
        <w:t>s as instituições beneficiadas.</w:t>
      </w:r>
    </w:p>
    <w:p w14:paraId="466C2499" w14:textId="77777777" w:rsidR="00AE2172" w:rsidRDefault="00000000" w:rsidP="00AE2172">
      <w:pPr>
        <w:spacing w:line="276" w:lineRule="auto"/>
        <w:ind w:firstLine="1701"/>
        <w:jc w:val="both"/>
        <w:rPr>
          <w:sz w:val="25"/>
          <w:szCs w:val="25"/>
        </w:rPr>
      </w:pPr>
      <w:r w:rsidRPr="00FA3352">
        <w:rPr>
          <w:sz w:val="25"/>
          <w:szCs w:val="25"/>
        </w:rPr>
        <w:t xml:space="preserve">Muitos clientes que usualmente </w:t>
      </w:r>
      <w:r w:rsidR="00A12C93" w:rsidRPr="00FA3352">
        <w:rPr>
          <w:sz w:val="25"/>
          <w:szCs w:val="25"/>
        </w:rPr>
        <w:t>frequentam</w:t>
      </w:r>
      <w:r w:rsidRPr="00FA3352">
        <w:rPr>
          <w:sz w:val="25"/>
          <w:szCs w:val="25"/>
        </w:rPr>
        <w:t xml:space="preserve"> o mesmo estabelecimento fazem a doação e tem interesse em saber para aonde foram destinados os recursos, além de qual o valor financeiro obtido para causas de extremo interesse público e social.</w:t>
      </w:r>
    </w:p>
    <w:p w14:paraId="3DC4D640" w14:textId="77777777" w:rsidR="00AE2172" w:rsidRPr="00FA3352" w:rsidRDefault="00AE2172" w:rsidP="00A12C93">
      <w:pPr>
        <w:spacing w:line="276" w:lineRule="auto"/>
        <w:jc w:val="both"/>
        <w:rPr>
          <w:sz w:val="25"/>
          <w:szCs w:val="25"/>
        </w:rPr>
      </w:pPr>
    </w:p>
    <w:p w14:paraId="435C38D4" w14:textId="77777777" w:rsidR="00AE2172" w:rsidRPr="00FA3352" w:rsidRDefault="00000000" w:rsidP="00AE2172">
      <w:pPr>
        <w:spacing w:line="276" w:lineRule="auto"/>
        <w:ind w:firstLine="1701"/>
        <w:jc w:val="both"/>
        <w:rPr>
          <w:sz w:val="25"/>
          <w:szCs w:val="25"/>
        </w:rPr>
      </w:pPr>
      <w:r w:rsidRPr="00FA3352">
        <w:rPr>
          <w:sz w:val="25"/>
          <w:szCs w:val="25"/>
        </w:rPr>
        <w:t>Dessa forma o que buscamos aqui é uma maior clareza na prestação de informações sobre as ações sociais realizadas em nosso município e o respectivo repasse e sua destinação.</w:t>
      </w:r>
    </w:p>
    <w:p w14:paraId="43FD0637" w14:textId="77777777" w:rsidR="00AE2172" w:rsidRPr="00FA3352" w:rsidRDefault="00AE2172" w:rsidP="00AE2172">
      <w:pPr>
        <w:spacing w:line="276" w:lineRule="auto"/>
        <w:ind w:firstLine="1701"/>
        <w:jc w:val="both"/>
        <w:rPr>
          <w:sz w:val="25"/>
          <w:szCs w:val="25"/>
        </w:rPr>
      </w:pPr>
    </w:p>
    <w:p w14:paraId="5CE446B8" w14:textId="77777777" w:rsidR="00AE2172" w:rsidRDefault="00000000" w:rsidP="00A12C93">
      <w:pPr>
        <w:spacing w:line="276" w:lineRule="auto"/>
        <w:ind w:firstLine="1701"/>
        <w:jc w:val="both"/>
        <w:rPr>
          <w:sz w:val="25"/>
          <w:szCs w:val="25"/>
        </w:rPr>
      </w:pPr>
      <w:r w:rsidRPr="00FA3352">
        <w:rPr>
          <w:sz w:val="25"/>
          <w:szCs w:val="25"/>
        </w:rPr>
        <w:t>Dado a importância deste Projeto de Lei</w:t>
      </w:r>
      <w:r w:rsidR="00A12C93">
        <w:rPr>
          <w:sz w:val="25"/>
          <w:szCs w:val="25"/>
        </w:rPr>
        <w:t>,</w:t>
      </w:r>
      <w:r w:rsidRPr="00FA3352">
        <w:rPr>
          <w:sz w:val="25"/>
          <w:szCs w:val="25"/>
        </w:rPr>
        <w:t xml:space="preserve"> peço aos nobres edis</w:t>
      </w:r>
      <w:r w:rsidR="00094269">
        <w:rPr>
          <w:sz w:val="25"/>
          <w:szCs w:val="25"/>
        </w:rPr>
        <w:t>,</w:t>
      </w:r>
      <w:r w:rsidRPr="00FA3352">
        <w:rPr>
          <w:sz w:val="25"/>
          <w:szCs w:val="25"/>
        </w:rPr>
        <w:t xml:space="preserve"> voto a favor da proposição em questão.</w:t>
      </w:r>
    </w:p>
    <w:p w14:paraId="3C79D969" w14:textId="77777777" w:rsidR="00AE2172" w:rsidRDefault="00AE2172" w:rsidP="00AE2172">
      <w:pPr>
        <w:ind w:firstLine="1701"/>
        <w:jc w:val="both"/>
        <w:rPr>
          <w:sz w:val="25"/>
          <w:szCs w:val="25"/>
        </w:rPr>
      </w:pPr>
    </w:p>
    <w:p w14:paraId="29965F72" w14:textId="77777777" w:rsidR="00AE2172" w:rsidRPr="00385186" w:rsidRDefault="00000000" w:rsidP="00A12C93">
      <w:pPr>
        <w:ind w:left="-1134" w:firstLine="567"/>
        <w:jc w:val="right"/>
        <w:rPr>
          <w:sz w:val="25"/>
          <w:szCs w:val="25"/>
        </w:rPr>
      </w:pPr>
      <w:r w:rsidRPr="00385186">
        <w:rPr>
          <w:sz w:val="25"/>
          <w:szCs w:val="25"/>
        </w:rPr>
        <w:t xml:space="preserve">Sala das Sessões, </w:t>
      </w:r>
      <w:r w:rsidR="00A12C93">
        <w:rPr>
          <w:sz w:val="25"/>
          <w:szCs w:val="25"/>
        </w:rPr>
        <w:t>15 de fevereiro de 2024</w:t>
      </w:r>
      <w:r w:rsidRPr="00385186">
        <w:rPr>
          <w:sz w:val="25"/>
          <w:szCs w:val="25"/>
        </w:rPr>
        <w:t>.</w:t>
      </w:r>
    </w:p>
    <w:p w14:paraId="08D86B23" w14:textId="77777777" w:rsidR="00AE2172" w:rsidRPr="00385186" w:rsidRDefault="00AE2172" w:rsidP="00AE2172">
      <w:pPr>
        <w:ind w:left="-1134" w:firstLine="567"/>
        <w:jc w:val="center"/>
        <w:rPr>
          <w:sz w:val="25"/>
          <w:szCs w:val="25"/>
        </w:rPr>
      </w:pPr>
    </w:p>
    <w:p w14:paraId="7192E592" w14:textId="77777777" w:rsidR="00AE2172" w:rsidRDefault="00AE2172" w:rsidP="00AE2172">
      <w:pPr>
        <w:ind w:hanging="567"/>
        <w:jc w:val="center"/>
        <w:rPr>
          <w:sz w:val="25"/>
          <w:szCs w:val="25"/>
        </w:rPr>
      </w:pPr>
    </w:p>
    <w:p w14:paraId="2B7DF34C" w14:textId="77777777" w:rsidR="00AE2172" w:rsidRDefault="00AE2172" w:rsidP="00AE2172">
      <w:pPr>
        <w:ind w:hanging="567"/>
        <w:jc w:val="center"/>
        <w:rPr>
          <w:sz w:val="25"/>
          <w:szCs w:val="25"/>
        </w:rPr>
      </w:pPr>
    </w:p>
    <w:p w14:paraId="19EB7BC2" w14:textId="77777777" w:rsidR="00A12C93" w:rsidRDefault="00A12C93" w:rsidP="00AE2172">
      <w:pPr>
        <w:ind w:hanging="567"/>
        <w:jc w:val="center"/>
        <w:rPr>
          <w:b/>
          <w:sz w:val="32"/>
          <w:szCs w:val="25"/>
          <w:u w:val="single"/>
        </w:rPr>
      </w:pPr>
    </w:p>
    <w:p w14:paraId="79F79073" w14:textId="77777777" w:rsidR="00AE2172" w:rsidRPr="00AE2172" w:rsidRDefault="00000000" w:rsidP="00AE2172">
      <w:pPr>
        <w:ind w:hanging="567"/>
        <w:jc w:val="center"/>
        <w:rPr>
          <w:b/>
          <w:sz w:val="32"/>
          <w:szCs w:val="25"/>
          <w:u w:val="single"/>
        </w:rPr>
      </w:pPr>
      <w:r w:rsidRPr="00AE2172">
        <w:rPr>
          <w:b/>
          <w:sz w:val="32"/>
          <w:szCs w:val="25"/>
          <w:u w:val="single"/>
        </w:rPr>
        <w:t>Willian Soares</w:t>
      </w:r>
    </w:p>
    <w:p w14:paraId="296D76DA" w14:textId="77777777" w:rsidR="00AE2172" w:rsidRPr="00AE2172" w:rsidRDefault="00000000" w:rsidP="00AE2172">
      <w:pPr>
        <w:ind w:hanging="567"/>
        <w:jc w:val="center"/>
        <w:rPr>
          <w:sz w:val="25"/>
          <w:szCs w:val="25"/>
        </w:rPr>
      </w:pPr>
      <w:r>
        <w:rPr>
          <w:sz w:val="25"/>
          <w:szCs w:val="25"/>
        </w:rPr>
        <w:t>Vereador – SD</w:t>
      </w:r>
    </w:p>
    <w:sectPr w:rsidR="00AE2172" w:rsidRPr="00AE21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5B06" w14:textId="77777777" w:rsidR="00CD59D5" w:rsidRDefault="00CD59D5">
      <w:r>
        <w:separator/>
      </w:r>
    </w:p>
  </w:endnote>
  <w:endnote w:type="continuationSeparator" w:id="0">
    <w:p w14:paraId="75A90E00" w14:textId="77777777" w:rsidR="00CD59D5" w:rsidRDefault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8A9D" w14:textId="77777777" w:rsidR="00CD59D5" w:rsidRDefault="00CD59D5">
      <w:r>
        <w:separator/>
      </w:r>
    </w:p>
  </w:footnote>
  <w:footnote w:type="continuationSeparator" w:id="0">
    <w:p w14:paraId="782ADB6C" w14:textId="77777777" w:rsidR="00CD59D5" w:rsidRDefault="00CD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B69A" w14:textId="77777777" w:rsidR="00881FA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78E01BB" wp14:editId="1DE563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72"/>
    <w:rsid w:val="00094269"/>
    <w:rsid w:val="00166511"/>
    <w:rsid w:val="001E7FCE"/>
    <w:rsid w:val="0022466F"/>
    <w:rsid w:val="002C0D81"/>
    <w:rsid w:val="00385186"/>
    <w:rsid w:val="00881FAF"/>
    <w:rsid w:val="008C1A08"/>
    <w:rsid w:val="00A12C93"/>
    <w:rsid w:val="00AE2172"/>
    <w:rsid w:val="00B858BC"/>
    <w:rsid w:val="00CD59D5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034"/>
  <w15:chartTrackingRefBased/>
  <w15:docId w15:val="{15B4C3DF-27B7-477C-BE33-4CB65066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2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C68C-5B04-40F2-BC06-2CEB634B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Bruno Pires de Camargo</cp:lastModifiedBy>
  <cp:revision>8</cp:revision>
  <cp:lastPrinted>2024-02-16T13:19:00Z</cp:lastPrinted>
  <dcterms:created xsi:type="dcterms:W3CDTF">2024-02-15T18:57:00Z</dcterms:created>
  <dcterms:modified xsi:type="dcterms:W3CDTF">2024-02-16T18:11:00Z</dcterms:modified>
</cp:coreProperties>
</file>